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3A82" w:rsidRPr="00ED789D" w:rsidRDefault="00F23A82" w:rsidP="00F23A82">
      <w:pPr>
        <w:rPr>
          <w:lang w:val="pt-PT"/>
        </w:rPr>
      </w:pPr>
      <w:r w:rsidRPr="001F700A">
        <w:rPr>
          <w:lang w:val="pt-BR"/>
        </w:rPr>
        <w:t>(Somente para Programa ISV Royalty)</w:t>
      </w:r>
    </w:p>
    <w:tbl>
      <w:tblPr>
        <w:tblW w:w="10440" w:type="dxa"/>
        <w:tblLook w:val="01E0" w:firstRow="1" w:lastRow="1" w:firstColumn="1" w:lastColumn="1" w:noHBand="0" w:noVBand="0"/>
      </w:tblPr>
      <w:tblGrid>
        <w:gridCol w:w="10440"/>
      </w:tblGrid>
      <w:tr w:rsidR="00F23A82" w:rsidRPr="001F700A" w:rsidTr="00302DF5">
        <w:trPr>
          <w:trHeight w:val="657"/>
        </w:trPr>
        <w:tc>
          <w:tcPr>
            <w:tcW w:w="10440" w:type="dxa"/>
            <w:shd w:val="clear" w:color="auto" w:fill="000080"/>
          </w:tcPr>
          <w:p w:rsidR="00F23A82" w:rsidRPr="001F700A" w:rsidRDefault="00F25474" w:rsidP="00302DF5">
            <w:pPr>
              <w:pStyle w:val="Heading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bookmarkStart w:id="0" w:name="_Toc104876522"/>
            <w:bookmarkStart w:id="1" w:name="_Toc116219487"/>
            <w:bookmarkEnd w:id="0"/>
            <w:bookmarkEnd w:id="1"/>
            <w:r w:rsidRPr="001F700A">
              <w:rPr>
                <w:sz w:val="24"/>
                <w:lang w:val="pt-BR"/>
              </w:rPr>
              <w:t>Microsoft</w:t>
            </w:r>
            <w:r w:rsidRPr="001F700A">
              <w:rPr>
                <w:sz w:val="24"/>
                <w:vertAlign w:val="superscript"/>
                <w:lang w:val="pt-BR"/>
              </w:rPr>
              <w:t>®</w:t>
            </w:r>
            <w:r w:rsidRPr="001F700A">
              <w:rPr>
                <w:sz w:val="24"/>
                <w:lang w:val="pt-BR"/>
              </w:rPr>
              <w:t xml:space="preserve"> Exchange Server 2013</w:t>
            </w:r>
            <w:r w:rsidRPr="001F700A">
              <w:rPr>
                <w:b w:val="0"/>
                <w:sz w:val="24"/>
                <w:lang w:val="pt-BR"/>
              </w:rPr>
              <w:t xml:space="preserve"> </w:t>
            </w:r>
            <w:r w:rsidR="000F08F9" w:rsidRPr="00A87300">
              <w:rPr>
                <w:rFonts w:cs="Arial"/>
                <w:highlight w:val="lightGray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0F08F9" w:rsidRPr="00A87300">
              <w:rPr>
                <w:rFonts w:cs="Arial"/>
                <w:highlight w:val="lightGray"/>
                <w:u w:val="single"/>
              </w:rPr>
              <w:instrText xml:space="preserve"> FORMTEXT </w:instrText>
            </w:r>
            <w:r w:rsidR="000F08F9" w:rsidRPr="00A87300">
              <w:rPr>
                <w:rFonts w:cs="Arial"/>
                <w:highlight w:val="lightGray"/>
                <w:u w:val="single"/>
              </w:rPr>
            </w:r>
            <w:r w:rsidR="000F08F9" w:rsidRPr="00A87300">
              <w:rPr>
                <w:rFonts w:cs="Arial"/>
                <w:highlight w:val="lightGray"/>
                <w:u w:val="single"/>
              </w:rPr>
              <w:fldChar w:fldCharType="separate"/>
            </w:r>
            <w:bookmarkStart w:id="2" w:name="_GoBack"/>
            <w:r w:rsidR="000F08F9" w:rsidRPr="00A87300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0F08F9" w:rsidRPr="00A87300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0F08F9" w:rsidRPr="00A87300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0F08F9" w:rsidRPr="00A87300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0F08F9" w:rsidRPr="00A87300">
              <w:rPr>
                <w:rFonts w:cs="Arial"/>
                <w:noProof/>
                <w:highlight w:val="lightGray"/>
                <w:u w:val="single"/>
              </w:rPr>
              <w:t> </w:t>
            </w:r>
            <w:bookmarkEnd w:id="2"/>
            <w:r w:rsidR="000F08F9" w:rsidRPr="00A87300">
              <w:rPr>
                <w:rFonts w:cs="Arial"/>
                <w:highlight w:val="lightGray"/>
                <w:u w:val="single"/>
              </w:rPr>
              <w:fldChar w:fldCharType="end"/>
            </w:r>
            <w:r w:rsidR="00302DF5" w:rsidRPr="001F700A">
              <w:rPr>
                <w:rStyle w:val="Heading1SuperCharChar"/>
                <w:b/>
              </w:rPr>
              <w:footnoteReference w:id="2"/>
            </w:r>
            <w:r w:rsidRPr="001F700A">
              <w:rPr>
                <w:rStyle w:val="Heading1SuperCharChar"/>
                <w:b/>
                <w:vertAlign w:val="baseline"/>
                <w:lang w:val="pt-BR"/>
              </w:rPr>
              <w:t xml:space="preserve"> </w:t>
            </w:r>
            <w:r w:rsidRPr="001F700A">
              <w:rPr>
                <w:sz w:val="24"/>
                <w:lang w:val="pt-BR"/>
              </w:rPr>
              <w:t>Edition</w:t>
            </w:r>
          </w:p>
        </w:tc>
      </w:tr>
      <w:tr w:rsidR="00F23A82" w:rsidRPr="001F700A" w:rsidTr="00F25474">
        <w:trPr>
          <w:trHeight w:hRule="exact" w:val="72"/>
        </w:trPr>
        <w:tc>
          <w:tcPr>
            <w:tcW w:w="10440" w:type="dxa"/>
          </w:tcPr>
          <w:p w:rsidR="00F23A82" w:rsidRPr="001F700A" w:rsidRDefault="00F23A82" w:rsidP="007E52F1"/>
        </w:tc>
      </w:tr>
      <w:tr w:rsidR="00F23A82" w:rsidRPr="00ED789D" w:rsidTr="0076280A">
        <w:trPr>
          <w:trHeight w:val="2169"/>
        </w:trPr>
        <w:tc>
          <w:tcPr>
            <w:tcW w:w="10440" w:type="dxa"/>
          </w:tcPr>
          <w:p w:rsidR="00F23A82" w:rsidRPr="001F700A" w:rsidRDefault="00F23A82" w:rsidP="007E52F1">
            <w:pPr>
              <w:pStyle w:val="LicenseNumberChar"/>
              <w:rPr>
                <w:lang w:val="fr-FR"/>
              </w:rPr>
            </w:pPr>
          </w:p>
          <w:p w:rsidR="00EB30ED" w:rsidRPr="001F700A" w:rsidRDefault="003A611B" w:rsidP="00EB30ED">
            <w:pPr>
              <w:pStyle w:val="LicenseNumber"/>
              <w:rPr>
                <w:rFonts w:cs="Tahoma"/>
                <w:color w:val="FFFFFF"/>
                <w:sz w:val="24"/>
                <w:szCs w:val="24"/>
                <w:vertAlign w:val="superscript"/>
                <w:lang w:val="fr-FR"/>
              </w:rPr>
            </w:pPr>
            <w:r w:rsidRPr="001F700A">
              <w:rPr>
                <w:rFonts w:cs="Tahoma"/>
                <w:sz w:val="24"/>
                <w:lang w:val="pt-BR"/>
              </w:rPr>
              <w:t>Licenças de Servidor:</w:t>
            </w:r>
            <w:r w:rsidR="00EB30ED" w:rsidRPr="001F700A">
              <w:rPr>
                <w:rFonts w:cs="Tahoma"/>
                <w:lang w:val="fr-FR"/>
              </w:rPr>
              <w:t xml:space="preserve"> </w: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0F08F9" w:rsidRPr="001F700A">
              <w:rPr>
                <w:rFonts w:cs="Arial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="0076280A" w:rsidRPr="001F700A">
              <w:rPr>
                <w:rStyle w:val="FootnoteReference"/>
                <w:sz w:val="24"/>
                <w:szCs w:val="24"/>
              </w:rPr>
              <w:footnoteReference w:id="3"/>
            </w:r>
          </w:p>
          <w:p w:rsidR="00EB30ED" w:rsidRPr="001F700A" w:rsidRDefault="003A611B" w:rsidP="00EB30ED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fr-FR"/>
              </w:rPr>
            </w:pPr>
            <w:r w:rsidRPr="001F700A">
              <w:rPr>
                <w:rFonts w:cs="Tahoma"/>
                <w:sz w:val="24"/>
                <w:lang w:val="pt-BR"/>
              </w:rPr>
              <w:t>Licenças de Acesso para Cliente do Usuário:</w:t>
            </w:r>
            <w:r w:rsidR="00EB30ED" w:rsidRPr="001F700A">
              <w:rPr>
                <w:rFonts w:cs="Tahoma"/>
                <w:bCs w:val="0"/>
                <w:sz w:val="24"/>
                <w:szCs w:val="24"/>
                <w:lang w:val="fr-FR"/>
              </w:rPr>
              <w:t xml:space="preserve"> </w: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0F08F9" w:rsidRPr="001F700A">
              <w:rPr>
                <w:rFonts w:cs="Arial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="0076280A" w:rsidRPr="001F700A">
              <w:rPr>
                <w:rStyle w:val="FootnoteReference"/>
                <w:sz w:val="24"/>
                <w:szCs w:val="24"/>
              </w:rPr>
              <w:footnoteReference w:id="4"/>
            </w:r>
          </w:p>
          <w:p w:rsidR="00EB30ED" w:rsidRPr="00AB2357" w:rsidRDefault="00EB30ED" w:rsidP="00EB30ED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1F700A">
              <w:rPr>
                <w:rFonts w:cs="Tahoma"/>
                <w:sz w:val="24"/>
                <w:szCs w:val="24"/>
                <w:lang w:val="pt-BR"/>
              </w:rPr>
              <w:t>Licenças de Acesso para Cliente do Dispositivo:</w:t>
            </w:r>
            <w:r w:rsidRPr="00AB2357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F08F9" w:rsidRPr="00AB2357">
              <w:rPr>
                <w:rFonts w:cs="Arial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="0076280A" w:rsidRPr="001F700A">
              <w:rPr>
                <w:rStyle w:val="FootnoteReference"/>
                <w:sz w:val="24"/>
                <w:szCs w:val="24"/>
              </w:rPr>
              <w:footnoteReference w:id="5"/>
            </w:r>
          </w:p>
          <w:p w:rsidR="00B02742" w:rsidRPr="001F700A" w:rsidRDefault="00B02742" w:rsidP="007E52F1">
            <w:pPr>
              <w:pStyle w:val="LicenseNumberChar"/>
              <w:rPr>
                <w:sz w:val="24"/>
                <w:szCs w:val="24"/>
                <w:lang w:val="fr-FR"/>
              </w:rPr>
            </w:pPr>
          </w:p>
        </w:tc>
      </w:tr>
      <w:tr w:rsidR="00F23A82" w:rsidRPr="00ED789D" w:rsidTr="00F25474">
        <w:trPr>
          <w:trHeight w:hRule="exact" w:val="486"/>
        </w:trPr>
        <w:tc>
          <w:tcPr>
            <w:tcW w:w="10440" w:type="dxa"/>
            <w:shd w:val="clear" w:color="auto" w:fill="000080"/>
          </w:tcPr>
          <w:p w:rsidR="00F23A82" w:rsidRPr="00AB2357" w:rsidRDefault="00F23A82" w:rsidP="007E52F1">
            <w:pPr>
              <w:rPr>
                <w:b/>
                <w:lang w:val="it-IT"/>
              </w:rPr>
            </w:pPr>
            <w:r w:rsidRPr="001F700A">
              <w:rPr>
                <w:b/>
                <w:lang w:val="pt-BR"/>
              </w:rPr>
              <w:t>CONTRATO DE LICENÇA DE USUÁRIO FINAL</w:t>
            </w:r>
          </w:p>
        </w:tc>
      </w:tr>
    </w:tbl>
    <w:p w:rsidR="004E48F3" w:rsidRPr="00AB2357" w:rsidRDefault="003A611B">
      <w:pPr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4F0B35" w:rsidRPr="001F700A">
        <w:rPr>
          <w:sz w:val="20"/>
          <w:lang w:val="pt-BR"/>
        </w:rPr>
        <w:t>“</w:t>
      </w:r>
      <w:r w:rsidRPr="001F700A">
        <w:rPr>
          <w:sz w:val="20"/>
          <w:lang w:val="pt-BR"/>
        </w:rPr>
        <w:t>Licenciante</w:t>
      </w:r>
      <w:r w:rsidR="004F0B35" w:rsidRPr="001F700A">
        <w:rPr>
          <w:sz w:val="20"/>
          <w:lang w:val="pt-BR"/>
        </w:rPr>
        <w:t>”</w:t>
      </w:r>
      <w:r w:rsidRPr="001F700A">
        <w:rPr>
          <w:sz w:val="20"/>
          <w:lang w:val="pt-BR"/>
        </w:rPr>
        <w:t>).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Leia-os atentamente.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Eles se aplicam ao</w:t>
      </w:r>
      <w:r w:rsidR="00E80F6F">
        <w:rPr>
          <w:sz w:val="20"/>
          <w:lang w:val="pt-BR"/>
        </w:rPr>
        <w:t> </w:t>
      </w:r>
      <w:r w:rsidRPr="001F700A">
        <w:rPr>
          <w:sz w:val="20"/>
          <w:lang w:val="pt-BR"/>
        </w:rPr>
        <w:t>software acima identificado, que inclui, se houver, a mídia na qual ele está contido.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Os termos também se aplicam aos</w:t>
      </w:r>
      <w:r w:rsidR="00E80F6F">
        <w:rPr>
          <w:sz w:val="20"/>
          <w:lang w:val="pt-BR"/>
        </w:rPr>
        <w:t> </w:t>
      </w:r>
      <w:r w:rsidRPr="001F700A">
        <w:rPr>
          <w:sz w:val="20"/>
          <w:lang w:val="pt-BR"/>
        </w:rPr>
        <w:t>seguintes itens da Microsoft:</w:t>
      </w:r>
    </w:p>
    <w:p w:rsidR="004E48F3" w:rsidRPr="001F700A" w:rsidRDefault="003A611B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atualizações,</w:t>
      </w:r>
    </w:p>
    <w:p w:rsidR="004E48F3" w:rsidRPr="001F700A" w:rsidRDefault="003A611B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suplementos e</w:t>
      </w:r>
    </w:p>
    <w:p w:rsidR="004E48F3" w:rsidRPr="001F700A" w:rsidRDefault="003A611B" w:rsidP="00F23A82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serviços de Internet</w:t>
      </w:r>
    </w:p>
    <w:p w:rsidR="004E48F3" w:rsidRPr="00AB2357" w:rsidRDefault="00ED5BFF">
      <w:pPr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referentes ao presente software, salvo se outros termos acompanharem os referidos itens.</w:t>
      </w:r>
      <w:r w:rsidRPr="00ED789D">
        <w:rPr>
          <w:rFonts w:eastAsia="SimSun"/>
          <w:sz w:val="20"/>
          <w:szCs w:val="20"/>
          <w:lang w:val="pt-P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Nesse caso, aplicar-se-ão seus respectivos termos.</w:t>
      </w:r>
      <w:r w:rsidR="003A611B" w:rsidRPr="00ED789D">
        <w:rPr>
          <w:lang w:val="pt-PT"/>
        </w:rPr>
        <w:t xml:space="preserve"> </w:t>
      </w:r>
      <w:r w:rsidR="003A611B" w:rsidRPr="001F700A">
        <w:rPr>
          <w:sz w:val="20"/>
          <w:lang w:val="pt-BR"/>
        </w:rPr>
        <w:t xml:space="preserve">A Microsoft Corporation ou uma de suas afiliadas (coletivamente denominada </w:t>
      </w:r>
      <w:r w:rsidR="004F0B35" w:rsidRPr="001F700A">
        <w:rPr>
          <w:sz w:val="20"/>
          <w:lang w:val="pt-BR"/>
        </w:rPr>
        <w:t>“</w:t>
      </w:r>
      <w:r w:rsidR="003A611B" w:rsidRPr="001F700A">
        <w:rPr>
          <w:sz w:val="20"/>
          <w:lang w:val="pt-BR"/>
        </w:rPr>
        <w:t>Microsoft</w:t>
      </w:r>
      <w:r w:rsidR="004F0B35" w:rsidRPr="001F700A">
        <w:rPr>
          <w:sz w:val="20"/>
          <w:lang w:val="pt-BR"/>
        </w:rPr>
        <w:t>”</w:t>
      </w:r>
      <w:r w:rsidR="003A611B" w:rsidRPr="001F700A">
        <w:rPr>
          <w:sz w:val="20"/>
          <w:lang w:val="pt-BR"/>
        </w:rPr>
        <w:t>) licenciou o</w:t>
      </w:r>
      <w:r w:rsidR="00E80F6F">
        <w:rPr>
          <w:sz w:val="20"/>
          <w:lang w:val="pt-BR"/>
        </w:rPr>
        <w:t> </w:t>
      </w:r>
      <w:r w:rsidR="003A611B" w:rsidRPr="001F700A">
        <w:rPr>
          <w:sz w:val="20"/>
          <w:lang w:val="pt-BR"/>
        </w:rPr>
        <w:t>software para o Licenciante.</w:t>
      </w:r>
    </w:p>
    <w:p w:rsidR="004E48F3" w:rsidRPr="00AB2357" w:rsidRDefault="00ED5BFF">
      <w:pPr>
        <w:pStyle w:val="Preamble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O uso do software representa a sua aceitação desses termos.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Se você não aceitá-los, não use o software.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Em vez disso, devolva-o no local da compra para obter um reembolso ou crédito.</w:t>
      </w:r>
    </w:p>
    <w:p w:rsidR="00B02742" w:rsidRPr="00AB2357" w:rsidRDefault="00B02742" w:rsidP="00B02742">
      <w:pPr>
        <w:pStyle w:val="Preamble"/>
        <w:rPr>
          <w:rFonts w:eastAsia="SimSun"/>
          <w:b w:val="0"/>
          <w:sz w:val="20"/>
          <w:szCs w:val="20"/>
          <w:lang w:val="it-IT"/>
        </w:rPr>
      </w:pPr>
      <w:r w:rsidRPr="001F700A">
        <w:rPr>
          <w:rFonts w:eastAsia="SimSun"/>
          <w:bCs w:val="0"/>
          <w:sz w:val="20"/>
          <w:szCs w:val="20"/>
          <w:lang w:val="pt-BR"/>
        </w:rPr>
        <w:t>Esses termos substituem quaisquer termos eletrônicos que possam estar contidos no software.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Se</w:t>
      </w:r>
      <w:r w:rsidR="00E80F6F">
        <w:rPr>
          <w:sz w:val="20"/>
          <w:lang w:val="pt-BR"/>
        </w:rPr>
        <w:t> </w:t>
      </w:r>
      <w:r w:rsidR="003A611B" w:rsidRPr="001F700A">
        <w:rPr>
          <w:sz w:val="20"/>
          <w:lang w:val="pt-BR"/>
        </w:rPr>
        <w:t>quaisquer termos contidos no software estiverem em conflito com os presentes termos, estes prevalecerão.</w:t>
      </w:r>
      <w:r w:rsidR="003A611B" w:rsidRPr="00AB2357">
        <w:rPr>
          <w:lang w:val="it-IT"/>
        </w:rPr>
        <w:t xml:space="preserve"> </w:t>
      </w:r>
    </w:p>
    <w:p w:rsidR="004E48F3" w:rsidRPr="00AB2357" w:rsidRDefault="003A611B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4E48F3" w:rsidRPr="00AB2357" w:rsidRDefault="00F25474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Concordando com os presentes termos de licença, ser-lhe-ão conferidos os direitos perpétuos abaixo.</w:t>
      </w:r>
    </w:p>
    <w:p w:rsidR="004E48F3" w:rsidRPr="001F700A" w:rsidRDefault="003A611B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VISÃO GERAL.</w:t>
      </w:r>
    </w:p>
    <w:p w:rsidR="004E48F3" w:rsidRPr="001F700A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</w:rPr>
      </w:pPr>
      <w:r w:rsidRPr="001F700A">
        <w:rPr>
          <w:rFonts w:eastAsia="SimSun"/>
          <w:sz w:val="20"/>
          <w:szCs w:val="20"/>
          <w:lang w:val="pt-BR"/>
        </w:rPr>
        <w:t>Software.</w:t>
      </w:r>
      <w:r w:rsidR="003A611B" w:rsidRPr="001F700A">
        <w:t xml:space="preserve"> </w:t>
      </w:r>
      <w:r w:rsidR="003A611B" w:rsidRPr="001F700A">
        <w:rPr>
          <w:b w:val="0"/>
          <w:sz w:val="20"/>
          <w:lang w:val="pt-BR"/>
        </w:rPr>
        <w:t>O software inclui</w:t>
      </w:r>
    </w:p>
    <w:p w:rsidR="004E48F3" w:rsidRPr="001F700A" w:rsidRDefault="003A611B">
      <w:pPr>
        <w:pStyle w:val="Bullet3"/>
        <w:widowControl w:val="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software de servidor e</w:t>
      </w:r>
    </w:p>
    <w:p w:rsidR="004E48F3" w:rsidRPr="00AB2357" w:rsidRDefault="003A611B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software adicional que pode ser usado apenas com o software de servidor, direta ou indiretamente, por</w:t>
      </w:r>
      <w:r w:rsidR="003E5656">
        <w:rPr>
          <w:sz w:val="20"/>
          <w:lang w:val="pt-BR"/>
        </w:rPr>
        <w:t> </w:t>
      </w:r>
      <w:r w:rsidRPr="001F700A">
        <w:rPr>
          <w:sz w:val="20"/>
          <w:lang w:val="pt-BR"/>
        </w:rPr>
        <w:t>meio</w:t>
      </w:r>
      <w:r w:rsidR="003E5656">
        <w:rPr>
          <w:sz w:val="20"/>
          <w:lang w:val="pt-BR"/>
        </w:rPr>
        <w:t> </w:t>
      </w:r>
      <w:r w:rsidRPr="001F700A">
        <w:rPr>
          <w:sz w:val="20"/>
          <w:lang w:val="pt-BR"/>
        </w:rPr>
        <w:t>de outros softwares.</w:t>
      </w:r>
    </w:p>
    <w:p w:rsidR="004E48F3" w:rsidRPr="00AB2357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Modelo de Licença.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O software é licenciado com base no</w:t>
      </w:r>
    </w:p>
    <w:p w:rsidR="004E48F3" w:rsidRPr="00ED789D" w:rsidRDefault="003A611B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número de instâncias do software de servidor executado;</w:t>
      </w:r>
    </w:p>
    <w:p w:rsidR="004E48F3" w:rsidRPr="00ED789D" w:rsidRDefault="003A611B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lastRenderedPageBreak/>
        <w:t>número de dispositivos e usuários que acessam as instâncias do software de servidor; e</w:t>
      </w:r>
    </w:p>
    <w:p w:rsidR="004E48F3" w:rsidRPr="00ED789D" w:rsidRDefault="003A611B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funcionalidade do software de servidor acessada.</w:t>
      </w:r>
    </w:p>
    <w:p w:rsidR="004E48F3" w:rsidRPr="001F700A" w:rsidRDefault="003A611B" w:rsidP="00ED5BFF">
      <w:pPr>
        <w:pStyle w:val="Heading2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Terminologia de Licenciamento.</w:t>
      </w:r>
    </w:p>
    <w:p w:rsidR="004E48F3" w:rsidRPr="00ED789D" w:rsidRDefault="003A611B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b/>
          <w:sz w:val="20"/>
          <w:lang w:val="pt-BR"/>
        </w:rPr>
        <w:t>Instância.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Você cria uma instância do software executando o procedimento de configuração ou instalação do software.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Uma instância do software também pode ser criada por meio da duplicação de uma instância existente.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 xml:space="preserve">As referências ao software neste contrato incluem as </w:t>
      </w:r>
      <w:r w:rsidR="004F0B35" w:rsidRPr="001F700A">
        <w:rPr>
          <w:sz w:val="20"/>
          <w:lang w:val="pt-BR"/>
        </w:rPr>
        <w:t>“</w:t>
      </w:r>
      <w:r w:rsidRPr="001F700A">
        <w:rPr>
          <w:sz w:val="20"/>
          <w:lang w:val="pt-BR"/>
        </w:rPr>
        <w:t>instâncias</w:t>
      </w:r>
      <w:r w:rsidR="004F0B35" w:rsidRPr="001F700A">
        <w:rPr>
          <w:sz w:val="20"/>
          <w:lang w:val="pt-BR"/>
        </w:rPr>
        <w:t>”</w:t>
      </w:r>
      <w:r w:rsidRPr="001F700A">
        <w:rPr>
          <w:sz w:val="20"/>
          <w:lang w:val="pt-BR"/>
        </w:rPr>
        <w:t xml:space="preserve"> do software.</w:t>
      </w:r>
    </w:p>
    <w:p w:rsidR="004E48F3" w:rsidRPr="00AB2357" w:rsidRDefault="003A611B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b/>
          <w:sz w:val="20"/>
          <w:lang w:val="pt-BR"/>
        </w:rPr>
        <w:t>Execução de uma Instância.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 xml:space="preserve">Você </w:t>
      </w:r>
      <w:r w:rsidR="004F0B35" w:rsidRPr="001F700A">
        <w:rPr>
          <w:sz w:val="20"/>
          <w:lang w:val="pt-BR"/>
        </w:rPr>
        <w:t>“</w:t>
      </w:r>
      <w:r w:rsidRPr="001F700A">
        <w:rPr>
          <w:sz w:val="20"/>
          <w:lang w:val="pt-BR"/>
        </w:rPr>
        <w:t>executa uma instância</w:t>
      </w:r>
      <w:r w:rsidR="004F0B35" w:rsidRPr="001F700A">
        <w:rPr>
          <w:sz w:val="20"/>
          <w:lang w:val="pt-BR"/>
        </w:rPr>
        <w:t>”</w:t>
      </w:r>
      <w:r w:rsidRPr="001F700A">
        <w:rPr>
          <w:sz w:val="20"/>
          <w:lang w:val="pt-BR"/>
        </w:rPr>
        <w:t xml:space="preserve"> do software, carregando-a na memória e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executando uma ou mais de suas instruções.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Depois que estiver sendo executada, uma instância será considerada em execução (independentemente de suas instruções continuarem ou não a ser executadas) até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ela ser removida da memória.</w:t>
      </w:r>
    </w:p>
    <w:p w:rsidR="004E48F3" w:rsidRPr="00BF0FD0" w:rsidRDefault="003A611B">
      <w:pPr>
        <w:pStyle w:val="Bullet3"/>
        <w:widowControl w:val="0"/>
        <w:rPr>
          <w:rFonts w:eastAsia="SimSun"/>
          <w:sz w:val="20"/>
          <w:szCs w:val="20"/>
          <w:lang w:val="de-DE"/>
        </w:rPr>
      </w:pPr>
      <w:r w:rsidRPr="001F700A">
        <w:rPr>
          <w:b/>
          <w:sz w:val="20"/>
          <w:lang w:val="pt-BR"/>
        </w:rPr>
        <w:t>Ambiente de Sistema Operacional.</w:t>
      </w:r>
      <w:r w:rsidRPr="00BF0FD0">
        <w:rPr>
          <w:lang w:val="de-DE"/>
        </w:rPr>
        <w:t xml:space="preserve"> </w:t>
      </w:r>
      <w:r w:rsidRPr="001F700A">
        <w:rPr>
          <w:sz w:val="20"/>
          <w:lang w:val="pt-BR"/>
        </w:rPr>
        <w:t xml:space="preserve">Um </w:t>
      </w:r>
      <w:r w:rsidR="004F0B35" w:rsidRPr="001F700A">
        <w:rPr>
          <w:sz w:val="20"/>
          <w:lang w:val="pt-BR"/>
        </w:rPr>
        <w:t>“</w:t>
      </w:r>
      <w:r w:rsidRPr="001F700A">
        <w:rPr>
          <w:sz w:val="20"/>
          <w:lang w:val="pt-BR"/>
        </w:rPr>
        <w:t>ambiente de sistema operacional</w:t>
      </w:r>
      <w:r w:rsidR="004F0B35" w:rsidRPr="001F700A">
        <w:rPr>
          <w:sz w:val="20"/>
          <w:lang w:val="pt-BR"/>
        </w:rPr>
        <w:t>”</w:t>
      </w:r>
      <w:r w:rsidRPr="001F700A">
        <w:rPr>
          <w:sz w:val="20"/>
          <w:lang w:val="pt-BR"/>
        </w:rPr>
        <w:t xml:space="preserve"> é</w:t>
      </w:r>
    </w:p>
    <w:p w:rsidR="004E48F3" w:rsidRPr="00AB2357" w:rsidRDefault="003A611B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uma instância total ou parcial de sistema operacional ou uma instância total ou parcial de sistema operacional virtual (ou emulado) que permite separar a identidade da máquina (nome do computador principal ou identificador exclusivo similar) ou os direitos administrativos e</w:t>
      </w:r>
    </w:p>
    <w:p w:rsidR="004E48F3" w:rsidRPr="00ED789D" w:rsidRDefault="003A611B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instâncias de aplicativos, se houver, configuradas para serem executadas na instância de sistema operacional ou nas partes identificadas acima.</w:t>
      </w:r>
    </w:p>
    <w:p w:rsidR="004E48F3" w:rsidRPr="00BF0FD0" w:rsidRDefault="00ED5BFF">
      <w:pPr>
        <w:pStyle w:val="Body3"/>
        <w:widowControl w:val="0"/>
        <w:rPr>
          <w:rFonts w:eastAsia="SimSun"/>
          <w:sz w:val="20"/>
          <w:szCs w:val="20"/>
          <w:lang w:val="de-DE"/>
        </w:rPr>
      </w:pPr>
      <w:r w:rsidRPr="001F700A">
        <w:rPr>
          <w:rFonts w:eastAsia="SimSun"/>
          <w:sz w:val="20"/>
          <w:szCs w:val="20"/>
          <w:lang w:val="pt-BR"/>
        </w:rPr>
        <w:t>Existem dois tipos de ambientes de sistema operacional: físico e virtual.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Um ambiente de sistema operacional físico é configurado para ser executado diretamente em um sistema de hardware físico.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A instância de sistema operacional usada para executar o software de virtualização de hardware (por exemplo, o Microsoft Virtual Server ou tecnologias similares) ou para fornecer serviços de virtualização de hardware (por exemplo, a tecnologia de virtualização da Microsoft ou tecnologias similares) é considerada parte do ambiente de sistema operacional físico.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Um ambiente de sistema operacional virtual é configurado para ser executado em</w:t>
      </w:r>
      <w:r w:rsidR="00A23B86">
        <w:rPr>
          <w:rFonts w:eastAsia="SimSun"/>
          <w:sz w:val="20"/>
          <w:szCs w:val="20"/>
          <w:lang w:val="pt-BR"/>
        </w:rPr>
        <w:t> </w:t>
      </w:r>
      <w:r w:rsidRPr="001F700A">
        <w:rPr>
          <w:rFonts w:eastAsia="SimSun"/>
          <w:sz w:val="20"/>
          <w:szCs w:val="20"/>
          <w:lang w:val="pt-BR"/>
        </w:rPr>
        <w:t>um sistema de hardware virtual (ou emulado).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Um sistema de hardware físico pode ter um dos itens abaixo ou ambos:</w:t>
      </w:r>
    </w:p>
    <w:p w:rsidR="004E48F3" w:rsidRPr="00BF0FD0" w:rsidRDefault="003A611B">
      <w:pPr>
        <w:pStyle w:val="Bullet4"/>
        <w:widowControl w:val="0"/>
        <w:rPr>
          <w:rFonts w:eastAsia="SimSun"/>
          <w:sz w:val="20"/>
          <w:szCs w:val="20"/>
          <w:lang w:val="de-DE"/>
        </w:rPr>
      </w:pPr>
      <w:r w:rsidRPr="001F700A">
        <w:rPr>
          <w:sz w:val="20"/>
          <w:lang w:val="pt-BR"/>
        </w:rPr>
        <w:t>um ambiente de sistema operacional físico</w:t>
      </w:r>
    </w:p>
    <w:p w:rsidR="004E48F3" w:rsidRPr="00ED789D" w:rsidRDefault="003A611B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um ou mais ambientes de sistema operacional virtuais.</w:t>
      </w:r>
    </w:p>
    <w:p w:rsidR="004E48F3" w:rsidRPr="00AB2357" w:rsidRDefault="003A611B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b/>
          <w:sz w:val="20"/>
          <w:lang w:val="pt-BR"/>
        </w:rPr>
        <w:t>Servidor.</w:t>
      </w:r>
      <w:r w:rsidRPr="00BF0FD0">
        <w:rPr>
          <w:lang w:val="de-DE"/>
        </w:rPr>
        <w:t xml:space="preserve"> </w:t>
      </w:r>
      <w:r w:rsidRPr="001F700A">
        <w:rPr>
          <w:sz w:val="20"/>
          <w:lang w:val="pt-BR"/>
        </w:rPr>
        <w:t>Um servidor é um sistema de hardware físico capaz de executar um software de servidor.</w:t>
      </w:r>
      <w:r w:rsidRPr="00BF0FD0">
        <w:rPr>
          <w:lang w:val="de-DE"/>
        </w:rPr>
        <w:t xml:space="preserve"> </w:t>
      </w:r>
      <w:r w:rsidRPr="001F700A">
        <w:rPr>
          <w:sz w:val="20"/>
          <w:lang w:val="pt-BR"/>
        </w:rPr>
        <w:t>Considera-se uma partição de hardware ou um blade como um sistema de hardware físico separado.</w:t>
      </w:r>
    </w:p>
    <w:p w:rsidR="004E48F3" w:rsidRPr="00AB2357" w:rsidRDefault="003A611B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b/>
          <w:sz w:val="20"/>
          <w:lang w:val="pt-BR"/>
        </w:rPr>
        <w:t>Consignação de uma Licença.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Atribuir uma licença significa simplesmente designar essa licença para um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servidor, dispositivo ou usuário.</w:t>
      </w:r>
    </w:p>
    <w:p w:rsidR="004E48F3" w:rsidRPr="001F700A" w:rsidRDefault="003A611B" w:rsidP="004641D6">
      <w:pPr>
        <w:pStyle w:val="Heading1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DIREITOS DE USO.</w:t>
      </w:r>
    </w:p>
    <w:p w:rsidR="004E48F3" w:rsidRPr="00AB2357" w:rsidRDefault="003A611B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Consignação da Licença ao Servidor.</w:t>
      </w:r>
    </w:p>
    <w:p w:rsidR="004E48F3" w:rsidRPr="00AB2357" w:rsidRDefault="00ED5BFF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Antes de executar qualquer instância do software de servidor sob uma licença de software, você deverá consignar essa licença a um dos servidores,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que será o servidor licenciado para essa licença específica.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O</w:t>
      </w:r>
      <w:r w:rsidR="00A23B86">
        <w:rPr>
          <w:sz w:val="20"/>
          <w:lang w:val="pt-BR"/>
        </w:rPr>
        <w:t> </w:t>
      </w:r>
      <w:r w:rsidR="003A611B" w:rsidRPr="001F700A">
        <w:rPr>
          <w:sz w:val="20"/>
          <w:lang w:val="pt-BR"/>
        </w:rPr>
        <w:t>cliente pode consignar outras licenças de software ao mesmo servidor, mas não pode consignar a</w:t>
      </w:r>
      <w:r w:rsidR="00A23B86">
        <w:rPr>
          <w:sz w:val="20"/>
          <w:lang w:val="pt-BR"/>
        </w:rPr>
        <w:t> </w:t>
      </w:r>
      <w:r w:rsidR="003A611B" w:rsidRPr="001F700A">
        <w:rPr>
          <w:sz w:val="20"/>
          <w:lang w:val="pt-BR"/>
        </w:rPr>
        <w:t>mesma</w:t>
      </w:r>
      <w:r w:rsidR="00A23B86">
        <w:rPr>
          <w:sz w:val="20"/>
          <w:lang w:val="pt-BR"/>
        </w:rPr>
        <w:t> </w:t>
      </w:r>
      <w:r w:rsidR="003A611B" w:rsidRPr="001F700A">
        <w:rPr>
          <w:sz w:val="20"/>
          <w:lang w:val="pt-BR"/>
        </w:rPr>
        <w:t>licença a mais de um servidor.</w:t>
      </w:r>
    </w:p>
    <w:p w:rsidR="004E48F3" w:rsidRPr="00AB2357" w:rsidRDefault="00ED5BFF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Você poderá realocar uma licença de software, mas apenas 90 dias depois da última consignação.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Será possível realocar uma licença de software mais cedo se você aposentar o servidor licenciado em decorrência de uma falha permanente de hardware.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Se você realocar uma licença, o servidor para o qual a licença for realocada se tornará o novo servidor licenciado dessa licença.</w:t>
      </w:r>
    </w:p>
    <w:p w:rsidR="004E48F3" w:rsidRPr="00ED789D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Execução de Instâncias do Software de Servidor.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Você pode executar, em um dado momento, uma instância do software de servidor em um ambiente de sistema operacional físico ou virtual no servidor licenciado.</w:t>
      </w:r>
    </w:p>
    <w:p w:rsidR="004E48F3" w:rsidRPr="00AB2357" w:rsidRDefault="00ED5BFF">
      <w:pPr>
        <w:pStyle w:val="Heading2"/>
        <w:widowControl w:val="0"/>
        <w:rPr>
          <w:b w:val="0"/>
          <w:sz w:val="20"/>
          <w:szCs w:val="20"/>
          <w:lang w:val="it-IT"/>
        </w:rPr>
      </w:pPr>
      <w:r w:rsidRPr="001F700A">
        <w:rPr>
          <w:sz w:val="20"/>
          <w:szCs w:val="20"/>
          <w:lang w:val="pt-BR"/>
        </w:rPr>
        <w:t>Execução de Instâncias dos Softwares Adicionais.</w:t>
      </w:r>
      <w:r w:rsidRPr="00ED789D">
        <w:rPr>
          <w:sz w:val="20"/>
          <w:szCs w:val="20"/>
          <w:lang w:val="pt-PT"/>
        </w:rPr>
        <w:t xml:space="preserve"> </w:t>
      </w:r>
      <w:r w:rsidRPr="001F700A">
        <w:rPr>
          <w:b w:val="0"/>
          <w:sz w:val="20"/>
          <w:szCs w:val="20"/>
          <w:lang w:val="pt-BR"/>
        </w:rPr>
        <w:t>Você poderá executar ou usar qualquer número de instâncias dos softwares adicionais listados a seguir em ambientes de sistema operacional físicos ou virtuais em</w:t>
      </w:r>
      <w:r w:rsidR="00A23B86">
        <w:rPr>
          <w:b w:val="0"/>
          <w:sz w:val="20"/>
          <w:szCs w:val="20"/>
          <w:lang w:val="pt-BR"/>
        </w:rPr>
        <w:t> </w:t>
      </w:r>
      <w:r w:rsidRPr="001F700A">
        <w:rPr>
          <w:b w:val="0"/>
          <w:sz w:val="20"/>
          <w:szCs w:val="20"/>
          <w:lang w:val="pt-BR"/>
        </w:rPr>
        <w:t>qualquer número de dispositivos.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É permitido usar um software adicional apenas com o software de servidor, direta ou indiretamente, por meio de outros softwares.</w:t>
      </w:r>
    </w:p>
    <w:p w:rsidR="004E48F3" w:rsidRPr="00734FD9" w:rsidRDefault="003A611B">
      <w:pPr>
        <w:pStyle w:val="Bullet3"/>
        <w:widowControl w:val="0"/>
        <w:rPr>
          <w:sz w:val="20"/>
          <w:szCs w:val="20"/>
        </w:rPr>
      </w:pPr>
      <w:r w:rsidRPr="001F700A">
        <w:rPr>
          <w:sz w:val="20"/>
          <w:lang w:val="pt-BR"/>
        </w:rPr>
        <w:t>Exchange Management Tools</w:t>
      </w:r>
    </w:p>
    <w:p w:rsidR="00734FD9" w:rsidRPr="001F700A" w:rsidRDefault="00734FD9" w:rsidP="00734FD9">
      <w:pPr>
        <w:pStyle w:val="Bullet3"/>
        <w:widowControl w:val="0"/>
        <w:numPr>
          <w:ilvl w:val="0"/>
          <w:numId w:val="0"/>
        </w:numPr>
        <w:ind w:left="1077"/>
        <w:rPr>
          <w:sz w:val="20"/>
          <w:szCs w:val="20"/>
        </w:rPr>
      </w:pPr>
    </w:p>
    <w:p w:rsidR="004E48F3" w:rsidRPr="006F033D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lastRenderedPageBreak/>
        <w:t>Criação e Armazenamento de Instâncias nos Servidores e em Mídia de Armazenamento.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Você terá os</w:t>
      </w:r>
      <w:r w:rsidR="00A23B86">
        <w:rPr>
          <w:b w:val="0"/>
          <w:sz w:val="20"/>
          <w:lang w:val="pt-BR"/>
        </w:rPr>
        <w:t> </w:t>
      </w:r>
      <w:r w:rsidR="003A611B" w:rsidRPr="001F700A">
        <w:rPr>
          <w:b w:val="0"/>
          <w:sz w:val="20"/>
          <w:lang w:val="pt-BR"/>
        </w:rPr>
        <w:t>seguintes direitos adicionais para cada licença de software adquirida:</w:t>
      </w:r>
    </w:p>
    <w:p w:rsidR="004E48F3" w:rsidRPr="00ED789D" w:rsidRDefault="003A611B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Poderá criar quantas instâncias do software de servidor e dos softwares adicionais forem desejadas.</w:t>
      </w:r>
    </w:p>
    <w:p w:rsidR="004E48F3" w:rsidRPr="00ED789D" w:rsidRDefault="003A611B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Poderá armazenar instâncias do software de servidor e de softwares adicionais em qualquer servidor ou mídia de armazenamento.</w:t>
      </w:r>
    </w:p>
    <w:p w:rsidR="004E48F3" w:rsidRPr="00ED789D" w:rsidRDefault="003A611B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Poderá criar e armazenar instâncias do software de servidor e de softwares adicionais exclusivamente para exercer o seu direito de executar instâncias do software de servidor sob quaisquer licenças de software conforme descrito (por exemplo, você não pode distribuir instâncias a terceiros).</w:t>
      </w:r>
    </w:p>
    <w:p w:rsidR="004E48F3" w:rsidRPr="00ED789D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Programas Microsoft Incluídos.</w:t>
      </w:r>
      <w:r w:rsidRPr="00ED789D">
        <w:rPr>
          <w:rFonts w:eastAsia="SimSun"/>
          <w:sz w:val="20"/>
          <w:szCs w:val="20"/>
          <w:lang w:val="pt-P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O software contém outros programas Microsoft.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Os presentes termos de</w:t>
      </w:r>
      <w:r w:rsidR="00A23B86">
        <w:rPr>
          <w:b w:val="0"/>
          <w:sz w:val="20"/>
          <w:lang w:val="pt-BR"/>
        </w:rPr>
        <w:t> </w:t>
      </w:r>
      <w:r w:rsidR="003A611B" w:rsidRPr="001F700A">
        <w:rPr>
          <w:b w:val="0"/>
          <w:sz w:val="20"/>
          <w:lang w:val="pt-BR"/>
        </w:rPr>
        <w:t>licença se aplicam ao uso que você fizer desses programas.</w:t>
      </w:r>
    </w:p>
    <w:p w:rsidR="004E48F3" w:rsidRPr="00ED789D" w:rsidRDefault="00ED5BFF" w:rsidP="00F25474">
      <w:pPr>
        <w:pStyle w:val="Heading2"/>
        <w:widowControl w:val="0"/>
        <w:tabs>
          <w:tab w:val="clear" w:pos="720"/>
        </w:tabs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Programas de Terceiros.</w:t>
      </w:r>
      <w:r w:rsidRPr="00AB2357">
        <w:rPr>
          <w:sz w:val="20"/>
          <w:szCs w:val="20"/>
          <w:lang w:val="it-IT"/>
        </w:rPr>
        <w:t xml:space="preserve"> </w:t>
      </w:r>
      <w:r w:rsidR="00F25474" w:rsidRPr="001F700A">
        <w:rPr>
          <w:b w:val="0"/>
          <w:sz w:val="20"/>
          <w:lang w:val="pt-BR"/>
        </w:rPr>
        <w:t>O software adicional pode incluir programas de terceiros que a Microsoft, não</w:t>
      </w:r>
      <w:r w:rsidR="00A23B86">
        <w:rPr>
          <w:b w:val="0"/>
          <w:sz w:val="20"/>
          <w:lang w:val="pt-BR"/>
        </w:rPr>
        <w:t> </w:t>
      </w:r>
      <w:r w:rsidR="00F25474" w:rsidRPr="001F700A">
        <w:rPr>
          <w:b w:val="0"/>
          <w:sz w:val="20"/>
          <w:lang w:val="pt-BR"/>
        </w:rPr>
        <w:t>o</w:t>
      </w:r>
      <w:r w:rsidR="00A23B86">
        <w:rPr>
          <w:b w:val="0"/>
          <w:sz w:val="20"/>
          <w:lang w:val="pt-BR"/>
        </w:rPr>
        <w:t> </w:t>
      </w:r>
      <w:r w:rsidR="00F25474" w:rsidRPr="001F700A">
        <w:rPr>
          <w:b w:val="0"/>
          <w:sz w:val="20"/>
          <w:lang w:val="pt-BR"/>
        </w:rPr>
        <w:t>terceiro, licencie a você de acordo com este contrato.</w:t>
      </w:r>
      <w:r w:rsidR="003A611B" w:rsidRPr="00AB2357">
        <w:rPr>
          <w:lang w:val="it-IT"/>
        </w:rPr>
        <w:t xml:space="preserve"> </w:t>
      </w:r>
      <w:r w:rsidR="00F25474" w:rsidRPr="001F700A">
        <w:rPr>
          <w:b w:val="0"/>
          <w:sz w:val="20"/>
          <w:lang w:val="pt-BR"/>
        </w:rPr>
        <w:t>Notificações, se houver, relativas ao programa de</w:t>
      </w:r>
      <w:r w:rsidR="00A23B86">
        <w:rPr>
          <w:b w:val="0"/>
          <w:sz w:val="20"/>
          <w:lang w:val="pt-BR"/>
        </w:rPr>
        <w:t> </w:t>
      </w:r>
      <w:r w:rsidR="00F25474" w:rsidRPr="001F700A">
        <w:rPr>
          <w:b w:val="0"/>
          <w:sz w:val="20"/>
          <w:lang w:val="pt-BR"/>
        </w:rPr>
        <w:t>terceiros, são incluídas somente para fins informativos.</w:t>
      </w:r>
    </w:p>
    <w:p w:rsidR="004E48F3" w:rsidRPr="00AB2357" w:rsidRDefault="003A611B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DIREITOS DE USO E/OU REQUISITOS DE LICENCIAMENTO ADICIONAIS.</w:t>
      </w:r>
    </w:p>
    <w:p w:rsidR="004E48F3" w:rsidRPr="00AB2357" w:rsidRDefault="003A611B">
      <w:pPr>
        <w:pStyle w:val="Heading2"/>
        <w:widowControl w:val="0"/>
        <w:ind w:hanging="36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Licenças de Acesso para Cliente (CALs).</w:t>
      </w:r>
    </w:p>
    <w:p w:rsidR="004E48F3" w:rsidRPr="00AB2357" w:rsidRDefault="00ED5BFF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b w:val="0"/>
          <w:bCs w:val="0"/>
          <w:sz w:val="20"/>
          <w:szCs w:val="20"/>
          <w:lang w:val="pt-BR"/>
        </w:rPr>
        <w:t>Você deve adquirir e atribuir a CAL apropriada a cada dispositivo ou usuário que acesse as instâncias do</w:t>
      </w:r>
      <w:r w:rsidR="00A23B86">
        <w:rPr>
          <w:rFonts w:eastAsia="SimSun"/>
          <w:b w:val="0"/>
          <w:bCs w:val="0"/>
          <w:sz w:val="20"/>
          <w:szCs w:val="20"/>
          <w:lang w:val="pt-BR"/>
        </w:rPr>
        <w:t> </w:t>
      </w:r>
      <w:r w:rsidRPr="001F700A">
        <w:rPr>
          <w:rFonts w:eastAsia="SimSun"/>
          <w:b w:val="0"/>
          <w:bCs w:val="0"/>
          <w:sz w:val="20"/>
          <w:szCs w:val="20"/>
          <w:lang w:val="pt-BR"/>
        </w:rPr>
        <w:t>software de servidor direta ou indiretamente.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Uma partição de hardware ou um blade é considerado como</w:t>
      </w:r>
      <w:r w:rsidR="00A23B86">
        <w:rPr>
          <w:b w:val="0"/>
          <w:sz w:val="20"/>
          <w:lang w:val="pt-BR"/>
        </w:rPr>
        <w:t> </w:t>
      </w:r>
      <w:r w:rsidR="003A611B" w:rsidRPr="001F700A">
        <w:rPr>
          <w:b w:val="0"/>
          <w:sz w:val="20"/>
          <w:lang w:val="pt-BR"/>
        </w:rPr>
        <w:t>um dispositivo separado.</w:t>
      </w:r>
    </w:p>
    <w:p w:rsidR="004E48F3" w:rsidRPr="00ED789D" w:rsidRDefault="003A611B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Não é necessário ter CALs para nenhum dos seus servidores licenciados a fim de executar instâncias do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software de servidor.</w:t>
      </w:r>
    </w:p>
    <w:p w:rsidR="004E48F3" w:rsidRPr="00ED789D" w:rsidRDefault="003A611B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Não é necessário ter CALs para até dois dispositivos ou usuários a fim de acessar as instâncias do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software de servidor unicamente com o objetivo de administrá-las.</w:t>
      </w:r>
    </w:p>
    <w:p w:rsidR="004E48F3" w:rsidRPr="00AB2357" w:rsidRDefault="00ED5BFF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As CALs permitem o acesso às instâncias de versões anteriores, mas não de versões posteriores, do</w:t>
      </w:r>
      <w:r w:rsidR="00A23B86">
        <w:rPr>
          <w:rFonts w:eastAsia="SimSun"/>
          <w:sz w:val="20"/>
          <w:szCs w:val="20"/>
          <w:lang w:val="pt-BR"/>
        </w:rPr>
        <w:t> </w:t>
      </w:r>
      <w:r w:rsidRPr="001F700A">
        <w:rPr>
          <w:rFonts w:eastAsia="SimSun"/>
          <w:sz w:val="20"/>
          <w:szCs w:val="20"/>
          <w:lang w:val="pt-BR"/>
        </w:rPr>
        <w:t>software de servidor.</w:t>
      </w:r>
      <w:r w:rsidR="003A611B" w:rsidRPr="00ED789D">
        <w:rPr>
          <w:lang w:val="pt-PT"/>
        </w:rPr>
        <w:t xml:space="preserve"> </w:t>
      </w:r>
      <w:r w:rsidR="003A611B" w:rsidRPr="001F700A">
        <w:rPr>
          <w:sz w:val="20"/>
          <w:lang w:val="pt-BR"/>
        </w:rPr>
        <w:t>Se você estiver acessando instâncias de uma versão anterior, também poderá</w:t>
      </w:r>
      <w:r w:rsidR="00A23B86">
        <w:rPr>
          <w:sz w:val="20"/>
          <w:lang w:val="pt-BR"/>
        </w:rPr>
        <w:t> </w:t>
      </w:r>
      <w:r w:rsidR="003A611B" w:rsidRPr="001F700A">
        <w:rPr>
          <w:sz w:val="20"/>
          <w:lang w:val="pt-BR"/>
        </w:rPr>
        <w:t>usar CALs correspondentes a essa versão.</w:t>
      </w:r>
    </w:p>
    <w:p w:rsidR="004E48F3" w:rsidRPr="00ED789D" w:rsidRDefault="00ED5BFF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Tipos de CALs.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Existem dois tipos de CALs:</w:t>
      </w:r>
      <w:r w:rsidRPr="00AB2357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ED789D">
        <w:rPr>
          <w:rFonts w:eastAsia="SimSun"/>
          <w:b w:val="0"/>
          <w:bCs w:val="0"/>
          <w:sz w:val="20"/>
          <w:szCs w:val="20"/>
          <w:lang w:val="pt-BR"/>
        </w:rPr>
        <w:t>uma para dispositivos e outra para usuários.</w:t>
      </w:r>
      <w:r w:rsidRPr="00ED789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ED789D">
        <w:rPr>
          <w:rFonts w:eastAsia="SimSun"/>
          <w:b w:val="0"/>
          <w:bCs w:val="0"/>
          <w:sz w:val="20"/>
          <w:szCs w:val="20"/>
          <w:lang w:val="pt-BR"/>
        </w:rPr>
        <w:t>Cada dispositivo CAL permite que um dispositivo, usado por qualquer usuário, acesse instâncias do software de servidor nos servidores licenciados.</w:t>
      </w:r>
      <w:r w:rsidRPr="00ED789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ED789D">
        <w:rPr>
          <w:rFonts w:eastAsia="SimSun"/>
          <w:b w:val="0"/>
          <w:bCs w:val="0"/>
          <w:sz w:val="20"/>
          <w:szCs w:val="20"/>
          <w:lang w:val="pt-BR"/>
        </w:rPr>
        <w:t>Cada CAL de usuário permite que um usuário, que esteja usando qualquer dispositivo, acesse instâncias do software de servidor nos servidores licenciados.</w:t>
      </w:r>
      <w:r w:rsidR="003A611B" w:rsidRPr="00ED789D">
        <w:rPr>
          <w:b w:val="0"/>
          <w:bCs w:val="0"/>
          <w:lang w:val="it-IT"/>
        </w:rPr>
        <w:t xml:space="preserve"> </w:t>
      </w:r>
      <w:r w:rsidR="003A611B" w:rsidRPr="00ED789D">
        <w:rPr>
          <w:b w:val="0"/>
          <w:bCs w:val="0"/>
          <w:sz w:val="20"/>
          <w:lang w:val="pt-BR"/>
        </w:rPr>
        <w:t>Você pode usar uma combinação de dispositivos CAL e CALs de usuário.</w:t>
      </w:r>
    </w:p>
    <w:p w:rsidR="004E48F3" w:rsidRPr="00AB2357" w:rsidRDefault="00ED5BFF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Transferência de CALs.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É permitido:</w:t>
      </w:r>
    </w:p>
    <w:p w:rsidR="004E48F3" w:rsidRPr="00AB2357" w:rsidRDefault="003A611B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realocar permanentemente um dispositivo CAL de um dispositivo para outro ou uma CAL de usuário de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um usuário para outro ou</w:t>
      </w:r>
    </w:p>
    <w:p w:rsidR="004E48F3" w:rsidRPr="00AB2357" w:rsidRDefault="003A611B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realocar temporariamente uma CAL de dispositivo para um dispositivo temporário enquanto o primeiro dispositivo estiver fora de serviço ou uma CAL de usuário para um funcionário temporário durante a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ausência do usuário.</w:t>
      </w:r>
    </w:p>
    <w:p w:rsidR="00A0689C" w:rsidRPr="00AB2357" w:rsidRDefault="003A611B" w:rsidP="00836676">
      <w:pPr>
        <w:pStyle w:val="Heading3Bold"/>
        <w:widowControl w:val="0"/>
        <w:tabs>
          <w:tab w:val="clear" w:pos="1077"/>
          <w:tab w:val="clear" w:pos="1440"/>
        </w:tabs>
        <w:ind w:left="1080" w:hanging="360"/>
        <w:rPr>
          <w:b w:val="0"/>
          <w:sz w:val="20"/>
          <w:szCs w:val="20"/>
          <w:lang w:val="it-IT"/>
        </w:rPr>
      </w:pPr>
      <w:r w:rsidRPr="001F700A">
        <w:rPr>
          <w:sz w:val="20"/>
          <w:lang w:val="pt-BR"/>
        </w:rPr>
        <w:t>CALs Corporativas do Exchange Server 2013.</w:t>
      </w:r>
      <w:r w:rsidRPr="00ED789D">
        <w:rPr>
          <w:lang w:val="pt-PT"/>
        </w:rPr>
        <w:t xml:space="preserve"> </w:t>
      </w:r>
      <w:r w:rsidR="00F25474" w:rsidRPr="001F700A">
        <w:rPr>
          <w:b w:val="0"/>
          <w:sz w:val="20"/>
          <w:lang w:val="pt-BR"/>
        </w:rPr>
        <w:t>Além de precisar de uma CAL padrão do Exchange Server</w:t>
      </w:r>
      <w:r w:rsidR="00A23B86">
        <w:rPr>
          <w:b w:val="0"/>
          <w:sz w:val="20"/>
          <w:lang w:val="pt-BR"/>
        </w:rPr>
        <w:t> </w:t>
      </w:r>
      <w:r w:rsidR="00F25474" w:rsidRPr="001F700A">
        <w:rPr>
          <w:b w:val="0"/>
          <w:sz w:val="20"/>
          <w:lang w:val="pt-BR"/>
        </w:rPr>
        <w:t xml:space="preserve">2013, você precisará de uma CAL </w:t>
      </w:r>
      <w:r w:rsidR="00F54FBC" w:rsidRPr="001F700A">
        <w:rPr>
          <w:b w:val="0"/>
          <w:sz w:val="20"/>
          <w:lang w:val="pt-BR"/>
        </w:rPr>
        <w:t xml:space="preserve">Empresarial </w:t>
      </w:r>
      <w:r w:rsidR="00F25474" w:rsidRPr="001F700A">
        <w:rPr>
          <w:b w:val="0"/>
          <w:sz w:val="20"/>
          <w:lang w:val="pt-BR"/>
        </w:rPr>
        <w:t>do Exchange Server 2013 para cada usuário ou dispositivo que acessa direta ou indiretamente as funcionalidades do Exchange Server 2013 (coletivamente</w:t>
      </w:r>
      <w:r w:rsidR="00836676">
        <w:rPr>
          <w:b w:val="0"/>
          <w:sz w:val="20"/>
          <w:lang w:val="pt-BR"/>
        </w:rPr>
        <w:t> </w:t>
      </w:r>
      <w:r w:rsidR="004F0B35" w:rsidRPr="001F700A">
        <w:rPr>
          <w:b w:val="0"/>
          <w:sz w:val="20"/>
          <w:lang w:val="pt-BR"/>
        </w:rPr>
        <w:t>“</w:t>
      </w:r>
      <w:r w:rsidR="00F25474" w:rsidRPr="001F700A">
        <w:rPr>
          <w:b w:val="0"/>
          <w:sz w:val="20"/>
          <w:lang w:val="pt-BR"/>
        </w:rPr>
        <w:t>Funcionalidade Adicional</w:t>
      </w:r>
      <w:r w:rsidR="004F0B35" w:rsidRPr="001F700A">
        <w:rPr>
          <w:b w:val="0"/>
          <w:sz w:val="20"/>
          <w:lang w:val="pt-BR"/>
        </w:rPr>
        <w:t>”</w:t>
      </w:r>
      <w:r w:rsidR="00F25474" w:rsidRPr="001F700A">
        <w:rPr>
          <w:b w:val="0"/>
          <w:sz w:val="20"/>
          <w:lang w:val="pt-BR"/>
        </w:rPr>
        <w:t>).</w:t>
      </w:r>
    </w:p>
    <w:p w:rsidR="00A0689C" w:rsidRPr="001F700A" w:rsidRDefault="00F25474" w:rsidP="00C9386B">
      <w:pPr>
        <w:pStyle w:val="Bullet4"/>
        <w:widowControl w:val="0"/>
        <w:rPr>
          <w:sz w:val="20"/>
          <w:szCs w:val="20"/>
        </w:rPr>
      </w:pPr>
      <w:r w:rsidRPr="001F700A">
        <w:rPr>
          <w:sz w:val="20"/>
          <w:lang w:val="pt-BR"/>
        </w:rPr>
        <w:t>Unificação de Mensagens</w:t>
      </w:r>
    </w:p>
    <w:p w:rsidR="00A0689C" w:rsidRPr="001F700A" w:rsidRDefault="00F25474" w:rsidP="00C9386B">
      <w:pPr>
        <w:pStyle w:val="Bullet4"/>
        <w:widowControl w:val="0"/>
        <w:rPr>
          <w:sz w:val="20"/>
          <w:szCs w:val="20"/>
        </w:rPr>
      </w:pPr>
      <w:r w:rsidRPr="001F700A">
        <w:rPr>
          <w:sz w:val="20"/>
          <w:lang w:val="pt-BR"/>
        </w:rPr>
        <w:t>Arquivamento no Local</w:t>
      </w:r>
      <w:r w:rsidR="00A0689C" w:rsidRPr="001F700A">
        <w:rPr>
          <w:sz w:val="20"/>
          <w:szCs w:val="20"/>
        </w:rPr>
        <w:t xml:space="preserve"> </w:t>
      </w:r>
    </w:p>
    <w:p w:rsidR="00A0689C" w:rsidRPr="00AB2357" w:rsidRDefault="00F25474" w:rsidP="00C9386B">
      <w:pPr>
        <w:pStyle w:val="Bullet4"/>
        <w:widowControl w:val="0"/>
        <w:rPr>
          <w:sz w:val="20"/>
          <w:szCs w:val="20"/>
          <w:lang w:val="it-IT"/>
        </w:rPr>
      </w:pPr>
      <w:r w:rsidRPr="001F700A">
        <w:rPr>
          <w:sz w:val="20"/>
          <w:lang w:val="pt-BR"/>
        </w:rPr>
        <w:t>Retenções no Local (Indefinido, Com Base em Consulta e Com Base em Tempo)</w:t>
      </w:r>
    </w:p>
    <w:p w:rsidR="00A0689C" w:rsidRPr="001F700A" w:rsidRDefault="00A0689C" w:rsidP="00C9386B">
      <w:pPr>
        <w:pStyle w:val="Bullet4"/>
        <w:widowControl w:val="0"/>
        <w:rPr>
          <w:sz w:val="20"/>
          <w:szCs w:val="20"/>
        </w:rPr>
      </w:pPr>
      <w:r w:rsidRPr="001F700A">
        <w:rPr>
          <w:sz w:val="20"/>
          <w:szCs w:val="20"/>
          <w:lang w:val="pt-BR"/>
        </w:rPr>
        <w:t>Diretivas Móveis Avançadas</w:t>
      </w:r>
      <w:r w:rsidRPr="001F700A">
        <w:rPr>
          <w:sz w:val="20"/>
          <w:szCs w:val="20"/>
        </w:rPr>
        <w:t xml:space="preserve"> </w:t>
      </w:r>
    </w:p>
    <w:p w:rsidR="00A0689C" w:rsidRPr="001F700A" w:rsidRDefault="00A0689C" w:rsidP="00C9386B">
      <w:pPr>
        <w:pStyle w:val="Bullet4"/>
        <w:widowControl w:val="0"/>
        <w:rPr>
          <w:sz w:val="20"/>
          <w:szCs w:val="20"/>
        </w:rPr>
      </w:pPr>
      <w:r w:rsidRPr="001F700A">
        <w:rPr>
          <w:sz w:val="20"/>
          <w:szCs w:val="20"/>
          <w:lang w:val="pt-BR"/>
        </w:rPr>
        <w:t>Conformidade e Proteção de Informações</w:t>
      </w:r>
      <w:r w:rsidRPr="001F700A">
        <w:rPr>
          <w:sz w:val="20"/>
          <w:szCs w:val="20"/>
        </w:rPr>
        <w:t xml:space="preserve"> </w:t>
      </w:r>
    </w:p>
    <w:p w:rsidR="00A0689C" w:rsidRPr="001F700A" w:rsidRDefault="00A0689C" w:rsidP="00C9386B">
      <w:pPr>
        <w:pStyle w:val="Bullet4"/>
        <w:widowControl w:val="0"/>
        <w:rPr>
          <w:sz w:val="20"/>
          <w:szCs w:val="20"/>
        </w:rPr>
      </w:pPr>
      <w:r w:rsidRPr="001F700A">
        <w:rPr>
          <w:sz w:val="20"/>
          <w:szCs w:val="20"/>
          <w:lang w:val="pt-BR"/>
        </w:rPr>
        <w:t>Diretivas de Retenção Personalizadas</w:t>
      </w:r>
      <w:r w:rsidRPr="001F700A">
        <w:rPr>
          <w:sz w:val="20"/>
          <w:szCs w:val="20"/>
        </w:rPr>
        <w:t xml:space="preserve"> </w:t>
      </w:r>
    </w:p>
    <w:p w:rsidR="00A0689C" w:rsidRPr="00AB2357" w:rsidRDefault="00F25474" w:rsidP="00C9386B">
      <w:pPr>
        <w:pStyle w:val="Bullet4"/>
        <w:widowControl w:val="0"/>
        <w:rPr>
          <w:sz w:val="20"/>
          <w:szCs w:val="20"/>
          <w:lang w:val="it-IT"/>
        </w:rPr>
      </w:pPr>
      <w:r w:rsidRPr="001F700A">
        <w:rPr>
          <w:sz w:val="20"/>
          <w:lang w:val="pt-BR"/>
        </w:rPr>
        <w:t>Registro da Lista de Distribuição/Por Usuário</w:t>
      </w:r>
    </w:p>
    <w:p w:rsidR="00A0689C" w:rsidRPr="00ED789D" w:rsidRDefault="00F25474" w:rsidP="00C9386B">
      <w:pPr>
        <w:pStyle w:val="Bullet4"/>
        <w:widowControl w:val="0"/>
        <w:rPr>
          <w:sz w:val="20"/>
          <w:szCs w:val="20"/>
          <w:lang w:val="pt-PT"/>
        </w:rPr>
      </w:pPr>
      <w:r w:rsidRPr="001F700A">
        <w:rPr>
          <w:sz w:val="20"/>
          <w:lang w:val="pt-BR"/>
        </w:rPr>
        <w:t>Caixas de Correio do Site – Conformidade</w:t>
      </w:r>
      <w:r w:rsidR="00A0689C" w:rsidRPr="00ED789D">
        <w:rPr>
          <w:sz w:val="20"/>
          <w:szCs w:val="20"/>
          <w:lang w:val="pt-PT"/>
        </w:rPr>
        <w:t xml:space="preserve"> </w:t>
      </w:r>
    </w:p>
    <w:p w:rsidR="00A0689C" w:rsidRPr="001F700A" w:rsidRDefault="00F25474" w:rsidP="00C9386B">
      <w:pPr>
        <w:pStyle w:val="Bullet4"/>
        <w:widowControl w:val="0"/>
        <w:rPr>
          <w:sz w:val="20"/>
          <w:szCs w:val="20"/>
        </w:rPr>
      </w:pPr>
      <w:r w:rsidRPr="001F700A">
        <w:rPr>
          <w:sz w:val="20"/>
          <w:lang w:val="pt-BR"/>
        </w:rPr>
        <w:t>Prevenção à Perda de Dados</w:t>
      </w:r>
    </w:p>
    <w:p w:rsidR="00A0689C" w:rsidRPr="00ED789D" w:rsidRDefault="00F25474" w:rsidP="00ED789D">
      <w:pPr>
        <w:pStyle w:val="Heading3Bold"/>
        <w:widowControl w:val="0"/>
        <w:tabs>
          <w:tab w:val="clear" w:pos="1077"/>
          <w:tab w:val="clear" w:pos="1440"/>
        </w:tabs>
        <w:ind w:left="1080" w:hanging="360"/>
        <w:rPr>
          <w:b w:val="0"/>
          <w:sz w:val="20"/>
          <w:szCs w:val="20"/>
          <w:lang w:val="pt-PT"/>
        </w:rPr>
      </w:pPr>
      <w:r w:rsidRPr="001F700A">
        <w:rPr>
          <w:sz w:val="20"/>
          <w:lang w:val="pt-BR"/>
        </w:rPr>
        <w:t>Licenças de Usuário Externo.</w:t>
      </w:r>
      <w:r w:rsidR="003A611B" w:rsidRPr="00ED789D">
        <w:rPr>
          <w:lang w:val="pt-PT"/>
        </w:rPr>
        <w:t xml:space="preserve"> </w:t>
      </w:r>
      <w:r w:rsidRPr="001F700A">
        <w:rPr>
          <w:b w:val="0"/>
          <w:sz w:val="20"/>
          <w:lang w:val="pt-BR"/>
        </w:rPr>
        <w:t>Cada licença do software para servidores inclui os direitos para qualquer número de Usuários Externos para acessar instâncias do software para servidores em um determinado servidor.</w:t>
      </w:r>
      <w:r w:rsidR="003A611B" w:rsidRPr="00ED789D">
        <w:rPr>
          <w:lang w:val="pt-PT"/>
        </w:rPr>
        <w:t xml:space="preserve"> </w:t>
      </w:r>
      <w:r w:rsidR="005A3BE5" w:rsidRPr="001F700A">
        <w:rPr>
          <w:b w:val="0"/>
          <w:sz w:val="20"/>
          <w:lang w:val="pt-BR"/>
        </w:rPr>
        <w:t>Você não precisa de CALs para esses usuários, exceto para acessar a Funcionalidade Adicional, que</w:t>
      </w:r>
      <w:r w:rsidR="00ED789D">
        <w:rPr>
          <w:b w:val="0"/>
          <w:sz w:val="20"/>
          <w:lang w:val="pt-BR"/>
        </w:rPr>
        <w:t> </w:t>
      </w:r>
      <w:r w:rsidR="005A3BE5" w:rsidRPr="001F700A">
        <w:rPr>
          <w:b w:val="0"/>
          <w:sz w:val="20"/>
          <w:lang w:val="pt-BR"/>
        </w:rPr>
        <w:t>exige uma CAL Padrão do Exchange Server 2013 e CAL Empresarial do Exchange Server 2013.</w:t>
      </w:r>
      <w:r w:rsidR="003A611B" w:rsidRPr="00ED789D">
        <w:rPr>
          <w:lang w:val="pt-PT"/>
        </w:rPr>
        <w:t xml:space="preserve"> </w:t>
      </w:r>
    </w:p>
    <w:p w:rsidR="00A0689C" w:rsidRPr="00ED789D" w:rsidRDefault="004F0B35" w:rsidP="006C0CF8">
      <w:pPr>
        <w:ind w:left="1080"/>
        <w:rPr>
          <w:sz w:val="20"/>
          <w:szCs w:val="20"/>
          <w:lang w:val="pt-PT"/>
        </w:rPr>
      </w:pPr>
      <w:r w:rsidRPr="001F700A">
        <w:rPr>
          <w:sz w:val="20"/>
          <w:lang w:val="pt-BR"/>
        </w:rPr>
        <w:t>“</w:t>
      </w:r>
      <w:r w:rsidR="005A3BE5" w:rsidRPr="001F700A">
        <w:rPr>
          <w:sz w:val="20"/>
          <w:lang w:val="pt-BR"/>
        </w:rPr>
        <w:t>Usuários Externos</w:t>
      </w:r>
      <w:r w:rsidRPr="001F700A">
        <w:rPr>
          <w:sz w:val="20"/>
          <w:lang w:val="pt-BR"/>
        </w:rPr>
        <w:t>”</w:t>
      </w:r>
      <w:r w:rsidR="005A3BE5" w:rsidRPr="001F700A">
        <w:rPr>
          <w:sz w:val="20"/>
          <w:lang w:val="pt-BR"/>
        </w:rPr>
        <w:t xml:space="preserve"> refere-se a usuários que não são:</w:t>
      </w:r>
    </w:p>
    <w:p w:rsidR="00A0689C" w:rsidRPr="00ED789D" w:rsidRDefault="00A0689C" w:rsidP="008712AB">
      <w:pPr>
        <w:pStyle w:val="ListParagraph1"/>
        <w:numPr>
          <w:ilvl w:val="0"/>
          <w:numId w:val="35"/>
        </w:numPr>
        <w:tabs>
          <w:tab w:val="left" w:pos="1440"/>
        </w:tabs>
        <w:ind w:left="1440" w:hanging="360"/>
        <w:contextualSpacing w:val="0"/>
        <w:rPr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funcion</w:t>
      </w:r>
      <w:r w:rsidR="005A3BE5" w:rsidRPr="001F700A">
        <w:rPr>
          <w:sz w:val="20"/>
          <w:szCs w:val="20"/>
          <w:lang w:val="pt-BR"/>
        </w:rPr>
        <w:t>ários seus ou de suas afiliadas</w:t>
      </w:r>
      <w:r w:rsidRPr="001F700A">
        <w:rPr>
          <w:sz w:val="20"/>
          <w:szCs w:val="20"/>
          <w:lang w:val="pt-BR"/>
        </w:rPr>
        <w:t xml:space="preserve"> ou</w:t>
      </w:r>
      <w:r w:rsidRPr="00ED789D">
        <w:rPr>
          <w:sz w:val="20"/>
          <w:szCs w:val="20"/>
          <w:lang w:val="pt-PT"/>
        </w:rPr>
        <w:t xml:space="preserve"> </w:t>
      </w:r>
    </w:p>
    <w:p w:rsidR="00A0689C" w:rsidRPr="00ED789D" w:rsidRDefault="00A0689C" w:rsidP="008712AB">
      <w:pPr>
        <w:pStyle w:val="ListParagraph1"/>
        <w:numPr>
          <w:ilvl w:val="0"/>
          <w:numId w:val="35"/>
        </w:numPr>
        <w:tabs>
          <w:tab w:val="left" w:pos="1440"/>
        </w:tabs>
        <w:ind w:left="1440" w:hanging="360"/>
        <w:contextualSpacing w:val="0"/>
        <w:rPr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prestadores de serviços ou representantes locais seus ou de suas afiliadas.</w:t>
      </w:r>
    </w:p>
    <w:p w:rsidR="004E48F3" w:rsidRPr="00ED789D" w:rsidRDefault="00ED5BFF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Multiplexação.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O hardware ou software usado por você para</w:t>
      </w:r>
    </w:p>
    <w:p w:rsidR="004E48F3" w:rsidRPr="001F700A" w:rsidRDefault="003A611B">
      <w:pPr>
        <w:pStyle w:val="Bullet3"/>
        <w:widowControl w:val="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reunir conexões,</w:t>
      </w:r>
    </w:p>
    <w:p w:rsidR="004E48F3" w:rsidRPr="001F700A" w:rsidRDefault="003A611B">
      <w:pPr>
        <w:pStyle w:val="Bullet3"/>
        <w:widowControl w:val="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reencaminhar informações e</w:t>
      </w:r>
    </w:p>
    <w:p w:rsidR="004E48F3" w:rsidRPr="00AB2357" w:rsidRDefault="003A611B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reduzir o número de dispositivos ou usuários que acessam ou usam o software diretamente</w:t>
      </w:r>
    </w:p>
    <w:p w:rsidR="004E48F3" w:rsidRPr="00ED789D" w:rsidRDefault="003A611B">
      <w:pPr>
        <w:pStyle w:val="Body2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 xml:space="preserve">(algumas vezes chamado de </w:t>
      </w:r>
      <w:r w:rsidR="004F0B35" w:rsidRPr="001F700A">
        <w:rPr>
          <w:sz w:val="20"/>
          <w:lang w:val="pt-BR"/>
        </w:rPr>
        <w:t>“</w:t>
      </w:r>
      <w:r w:rsidRPr="001F700A">
        <w:rPr>
          <w:sz w:val="20"/>
          <w:lang w:val="pt-BR"/>
        </w:rPr>
        <w:t>multiplexação</w:t>
      </w:r>
      <w:r w:rsidR="004F0B35" w:rsidRPr="001F700A">
        <w:rPr>
          <w:sz w:val="20"/>
          <w:lang w:val="pt-BR"/>
        </w:rPr>
        <w:t>”</w:t>
      </w:r>
      <w:r w:rsidRPr="001F700A">
        <w:rPr>
          <w:sz w:val="20"/>
          <w:lang w:val="pt-BR"/>
        </w:rPr>
        <w:t xml:space="preserve"> ou </w:t>
      </w:r>
      <w:r w:rsidR="004F0B35" w:rsidRPr="001F700A">
        <w:rPr>
          <w:sz w:val="20"/>
          <w:lang w:val="pt-BR"/>
        </w:rPr>
        <w:t>“</w:t>
      </w:r>
      <w:r w:rsidRPr="001F700A">
        <w:rPr>
          <w:sz w:val="20"/>
          <w:lang w:val="pt-BR"/>
        </w:rPr>
        <w:t>pooling</w:t>
      </w:r>
      <w:r w:rsidR="004F0B35" w:rsidRPr="001F700A">
        <w:rPr>
          <w:sz w:val="20"/>
          <w:lang w:val="pt-BR"/>
        </w:rPr>
        <w:t>”</w:t>
      </w:r>
      <w:r w:rsidRPr="001F700A">
        <w:rPr>
          <w:sz w:val="20"/>
          <w:lang w:val="pt-BR"/>
        </w:rPr>
        <w:t>), não reduz o número de licenças de qualquer tipo necessárias.</w:t>
      </w:r>
    </w:p>
    <w:p w:rsidR="004E48F3" w:rsidRPr="00AB2357" w:rsidRDefault="00ED5BFF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Sem Separação do Software para Servidores.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Não é permitido separar o software de servidor para uso em mais de um ambiente de sistema operacional sob uma única licença, a não ser que expressamente especificado.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Isso se aplica mesmo que os ambientes de sistema operacional estejam no mesmo sistema de hardware físico.</w:t>
      </w:r>
    </w:p>
    <w:p w:rsidR="004E48F3" w:rsidRPr="00AB2357" w:rsidRDefault="003A611B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sz w:val="20"/>
          <w:lang w:val="pt-BR"/>
        </w:rPr>
        <w:t>Instâncias Máximas.</w:t>
      </w:r>
      <w:r w:rsidRPr="00AB2357">
        <w:rPr>
          <w:lang w:val="it-IT"/>
        </w:rPr>
        <w:t xml:space="preserve"> </w:t>
      </w:r>
      <w:r w:rsidRPr="001F700A">
        <w:rPr>
          <w:b w:val="0"/>
          <w:sz w:val="20"/>
          <w:lang w:val="pt-BR"/>
        </w:rPr>
        <w:t>O software ou hardware pode limitar o número de instâncias do software de servidor que podem ser executadas em ambientes de sistema operacional físicos ou virtuais no servidor.</w:t>
      </w:r>
    </w:p>
    <w:p w:rsidR="004E48F3" w:rsidRPr="00ED789D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Funcionalidade Adicional.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A Microsoft poderá oferecer funcionalidade adicional para o software.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Outros termos de licença e valores adicionais poderão ser aplicados.</w:t>
      </w:r>
    </w:p>
    <w:p w:rsidR="004E48F3" w:rsidRPr="00ED789D" w:rsidRDefault="00ED5BFF">
      <w:pPr>
        <w:pStyle w:val="Heading1"/>
        <w:widowControl w:val="0"/>
        <w:rPr>
          <w:b w:val="0"/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SERVIÇOS DE INTERNET.</w:t>
      </w:r>
      <w:r w:rsidRPr="00ED789D">
        <w:rPr>
          <w:sz w:val="20"/>
          <w:szCs w:val="20"/>
          <w:lang w:val="pt-PT"/>
        </w:rPr>
        <w:t xml:space="preserve"> </w:t>
      </w:r>
      <w:r w:rsidRPr="001F700A">
        <w:rPr>
          <w:b w:val="0"/>
          <w:sz w:val="20"/>
          <w:szCs w:val="20"/>
          <w:lang w:val="pt-BR"/>
        </w:rPr>
        <w:t>A Microsoft fornece serviços de Internet com o software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e poderá alterá-los ou cancelá-los a qualquer momento.</w:t>
      </w:r>
    </w:p>
    <w:p w:rsidR="004E48F3" w:rsidRPr="00AB2357" w:rsidRDefault="00ED5BFF" w:rsidP="005A3BE5">
      <w:pPr>
        <w:pStyle w:val="Heading2"/>
        <w:widowControl w:val="0"/>
        <w:tabs>
          <w:tab w:val="clear" w:pos="720"/>
        </w:tabs>
        <w:rPr>
          <w:b w:val="0"/>
          <w:sz w:val="20"/>
          <w:szCs w:val="20"/>
          <w:lang w:val="it-IT"/>
        </w:rPr>
      </w:pPr>
      <w:r w:rsidRPr="001F700A">
        <w:rPr>
          <w:sz w:val="20"/>
          <w:szCs w:val="20"/>
          <w:lang w:val="pt-BR"/>
        </w:rPr>
        <w:t>Consentimento para Serviços de Internet.</w:t>
      </w:r>
      <w:r w:rsidRPr="00AB2357">
        <w:rPr>
          <w:sz w:val="20"/>
          <w:szCs w:val="20"/>
          <w:lang w:val="it-IT"/>
        </w:rPr>
        <w:t xml:space="preserve"> </w:t>
      </w:r>
      <w:r w:rsidR="005A3BE5" w:rsidRPr="001F700A">
        <w:rPr>
          <w:b w:val="0"/>
          <w:sz w:val="20"/>
          <w:lang w:val="pt-BR"/>
        </w:rPr>
        <w:t>O recurso de software descrito abaixo e na Política de Privacidade do Microsoft Exchange Server 2013 se conecta a sistemas de computador da Microsoft ou do services provider pela Internet.</w:t>
      </w:r>
      <w:r w:rsidRPr="00AB2357">
        <w:rPr>
          <w:sz w:val="20"/>
          <w:szCs w:val="20"/>
          <w:lang w:val="it-IT"/>
        </w:rPr>
        <w:t xml:space="preserve"> </w:t>
      </w:r>
      <w:r w:rsidRPr="001F700A">
        <w:rPr>
          <w:b w:val="0"/>
          <w:sz w:val="20"/>
          <w:szCs w:val="20"/>
          <w:lang w:val="pt-BR"/>
        </w:rPr>
        <w:t>Em alguns casos, você não receberá um aviso separado quando estes se conectarem.</w:t>
      </w:r>
      <w:r w:rsidRPr="00AB2357">
        <w:rPr>
          <w:sz w:val="20"/>
          <w:szCs w:val="20"/>
          <w:lang w:val="it-IT"/>
        </w:rPr>
        <w:t xml:space="preserve"> </w:t>
      </w:r>
      <w:r w:rsidR="005A3BE5" w:rsidRPr="001F700A">
        <w:rPr>
          <w:b w:val="0"/>
          <w:sz w:val="20"/>
          <w:lang w:val="pt-BR"/>
        </w:rPr>
        <w:t>A menos que</w:t>
      </w:r>
      <w:r w:rsidR="00A23B86">
        <w:rPr>
          <w:b w:val="0"/>
          <w:sz w:val="20"/>
          <w:lang w:val="pt-BR"/>
        </w:rPr>
        <w:t> </w:t>
      </w:r>
      <w:r w:rsidR="005A3BE5" w:rsidRPr="001F700A">
        <w:rPr>
          <w:b w:val="0"/>
          <w:sz w:val="20"/>
          <w:lang w:val="pt-BR"/>
        </w:rPr>
        <w:t>indicado de outra forma, é possível desativar esse recurso ou simplesmente não usá-lo.</w:t>
      </w:r>
      <w:r w:rsidRPr="00AB2357">
        <w:rPr>
          <w:sz w:val="20"/>
          <w:szCs w:val="20"/>
          <w:lang w:val="it-IT"/>
        </w:rPr>
        <w:t xml:space="preserve"> </w:t>
      </w:r>
      <w:r w:rsidRPr="001F700A">
        <w:rPr>
          <w:b w:val="0"/>
          <w:sz w:val="20"/>
          <w:szCs w:val="20"/>
          <w:lang w:val="pt-BR"/>
        </w:rPr>
        <w:t>Para obter mais informações sobre esse recurso, consulte o site de suporte online da Microsoft.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Usar esse recurso significa que você autoriza a transmissão dessas informações.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A Microsoft não usa as informações para identificar ou contatar você.</w:t>
      </w:r>
    </w:p>
    <w:p w:rsidR="004E48F3" w:rsidRPr="00AB2357" w:rsidRDefault="003A611B">
      <w:pPr>
        <w:pStyle w:val="Body2Underline"/>
        <w:widowControl w:val="0"/>
        <w:rPr>
          <w:sz w:val="20"/>
          <w:szCs w:val="20"/>
          <w:u w:val="none"/>
          <w:lang w:val="it-IT"/>
        </w:rPr>
      </w:pPr>
      <w:r w:rsidRPr="001F700A">
        <w:rPr>
          <w:sz w:val="20"/>
          <w:lang w:val="pt-BR"/>
        </w:rPr>
        <w:t>Informações do Computador</w:t>
      </w:r>
      <w:r w:rsidRPr="00A23B86">
        <w:rPr>
          <w:sz w:val="20"/>
          <w:u w:val="none"/>
          <w:lang w:val="pt-BR"/>
        </w:rPr>
        <w:t>.</w:t>
      </w:r>
      <w:r w:rsidRPr="00AB2357">
        <w:rPr>
          <w:u w:val="none"/>
          <w:lang w:val="it-IT"/>
        </w:rPr>
        <w:t xml:space="preserve"> </w:t>
      </w:r>
      <w:r w:rsidRPr="004A643C">
        <w:rPr>
          <w:sz w:val="20"/>
          <w:u w:val="none"/>
          <w:lang w:val="pt-BR"/>
        </w:rPr>
        <w:t>O recurso a seguir usa protocolos da Internet, que enviam informações sobre o</w:t>
      </w:r>
      <w:r w:rsidR="00A23B86" w:rsidRPr="004A643C">
        <w:rPr>
          <w:sz w:val="20"/>
          <w:u w:val="none"/>
          <w:lang w:val="pt-BR"/>
        </w:rPr>
        <w:t> </w:t>
      </w:r>
      <w:r w:rsidRPr="004A643C">
        <w:rPr>
          <w:sz w:val="20"/>
          <w:u w:val="none"/>
          <w:lang w:val="pt-BR"/>
        </w:rPr>
        <w:t>computador para os sistemas adequados, como o endereço IP (protocolo da Internet), o tipo de sistema operacional, o navegador, bem como o nome e a versão do software que estão sendo usados, bem como o</w:t>
      </w:r>
      <w:r w:rsidR="00A23B86" w:rsidRPr="004A643C">
        <w:rPr>
          <w:sz w:val="20"/>
          <w:u w:val="none"/>
          <w:lang w:val="pt-BR"/>
        </w:rPr>
        <w:t> </w:t>
      </w:r>
      <w:r w:rsidRPr="004A643C">
        <w:rPr>
          <w:sz w:val="20"/>
          <w:u w:val="none"/>
          <w:lang w:val="pt-BR"/>
        </w:rPr>
        <w:t>código de idioma do dispositivo no qual o software é executado.</w:t>
      </w:r>
      <w:r w:rsidRPr="00AB2357">
        <w:rPr>
          <w:u w:val="none"/>
          <w:lang w:val="it-IT"/>
        </w:rPr>
        <w:t xml:space="preserve"> </w:t>
      </w:r>
      <w:r w:rsidRPr="004A643C">
        <w:rPr>
          <w:sz w:val="20"/>
          <w:u w:val="none"/>
          <w:lang w:val="pt-BR"/>
        </w:rPr>
        <w:t>A Microsoft usa essas informações para disponibilizar o serviço de Internet para você.</w:t>
      </w:r>
    </w:p>
    <w:p w:rsidR="004E48F3" w:rsidRPr="00AB2357" w:rsidRDefault="003A611B">
      <w:pPr>
        <w:pStyle w:val="Bullet4Underline"/>
        <w:widowControl w:val="0"/>
        <w:numPr>
          <w:ilvl w:val="0"/>
          <w:numId w:val="4"/>
        </w:numPr>
        <w:tabs>
          <w:tab w:val="clear" w:pos="1437"/>
          <w:tab w:val="num" w:pos="1080"/>
        </w:tabs>
        <w:ind w:left="1080"/>
        <w:rPr>
          <w:rFonts w:eastAsia="SimSun"/>
          <w:sz w:val="20"/>
          <w:szCs w:val="20"/>
          <w:u w:val="none"/>
          <w:lang w:val="it-IT"/>
        </w:rPr>
      </w:pPr>
      <w:r w:rsidRPr="001F700A">
        <w:rPr>
          <w:sz w:val="20"/>
          <w:lang w:val="pt-BR"/>
        </w:rPr>
        <w:t>Certificados Digitais</w:t>
      </w:r>
      <w:r w:rsidRPr="00A23B86">
        <w:rPr>
          <w:sz w:val="20"/>
          <w:u w:val="none"/>
          <w:lang w:val="pt-BR"/>
        </w:rPr>
        <w:t>.</w:t>
      </w:r>
      <w:r w:rsidRPr="00AB2357">
        <w:rPr>
          <w:u w:val="none"/>
          <w:lang w:val="it-IT"/>
        </w:rPr>
        <w:t xml:space="preserve"> </w:t>
      </w:r>
      <w:r w:rsidRPr="004A643C">
        <w:rPr>
          <w:sz w:val="20"/>
          <w:u w:val="none"/>
          <w:lang w:val="pt-BR"/>
        </w:rPr>
        <w:t>O software usa certificados digitais.</w:t>
      </w:r>
      <w:r w:rsidRPr="00AB2357">
        <w:rPr>
          <w:u w:val="none"/>
          <w:lang w:val="it-IT"/>
        </w:rPr>
        <w:t xml:space="preserve"> </w:t>
      </w:r>
      <w:r w:rsidRPr="004A643C">
        <w:rPr>
          <w:sz w:val="20"/>
          <w:u w:val="none"/>
          <w:lang w:val="pt-BR"/>
        </w:rPr>
        <w:t>Esses certificados digitais confirmam a identidade dos usuários de Internet que enviam informações criptografadas padrão X.509.</w:t>
      </w:r>
      <w:r w:rsidRPr="00AB2357">
        <w:rPr>
          <w:u w:val="none"/>
          <w:lang w:val="it-IT"/>
        </w:rPr>
        <w:t xml:space="preserve"> </w:t>
      </w:r>
      <w:r w:rsidRPr="004A643C">
        <w:rPr>
          <w:sz w:val="20"/>
          <w:u w:val="none"/>
          <w:lang w:val="pt-BR"/>
        </w:rPr>
        <w:t>Eles também podem ser usados para assinar digitalmente arquivos e macros com a finalidade de verificar a integridade e a origem do</w:t>
      </w:r>
      <w:r w:rsidR="00A23B86" w:rsidRPr="004A643C">
        <w:rPr>
          <w:sz w:val="20"/>
          <w:u w:val="none"/>
          <w:lang w:val="pt-BR"/>
        </w:rPr>
        <w:t> </w:t>
      </w:r>
      <w:r w:rsidRPr="004A643C">
        <w:rPr>
          <w:sz w:val="20"/>
          <w:u w:val="none"/>
          <w:lang w:val="pt-BR"/>
        </w:rPr>
        <w:t>conteúdo do arquivo.</w:t>
      </w:r>
      <w:r w:rsidRPr="00AB2357">
        <w:rPr>
          <w:u w:val="none"/>
          <w:lang w:val="it-IT"/>
        </w:rPr>
        <w:t xml:space="preserve"> </w:t>
      </w:r>
      <w:r w:rsidRPr="004A643C">
        <w:rPr>
          <w:sz w:val="20"/>
          <w:u w:val="none"/>
          <w:lang w:val="pt-BR"/>
        </w:rPr>
        <w:t>O software recupera os certificados e atualiza as listas de certificados revogados usando a Internet, quando disponível.</w:t>
      </w:r>
    </w:p>
    <w:p w:rsidR="004E48F3" w:rsidRPr="00AB2357" w:rsidRDefault="00ED5BFF" w:rsidP="00ED789D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TESTE DE BENCHMARK.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Você deverá obter o prévio consentimento por escrito da Microsoft para divulgar a</w:t>
      </w:r>
      <w:r w:rsidR="00ED789D">
        <w:rPr>
          <w:rFonts w:eastAsia="SimSun"/>
          <w:b w:val="0"/>
          <w:sz w:val="20"/>
          <w:szCs w:val="20"/>
          <w:lang w:val="pt-BR"/>
        </w:rPr>
        <w:t> </w:t>
      </w:r>
      <w:r w:rsidRPr="001F700A">
        <w:rPr>
          <w:rFonts w:eastAsia="SimSun"/>
          <w:b w:val="0"/>
          <w:sz w:val="20"/>
          <w:szCs w:val="20"/>
          <w:lang w:val="pt-BR"/>
        </w:rPr>
        <w:t>terceiros os resultados de qualquer teste de benchmark do software.</w:t>
      </w:r>
    </w:p>
    <w:p w:rsidR="004641D6" w:rsidRPr="00ED789D" w:rsidRDefault="005A3BE5" w:rsidP="005A3BE5">
      <w:pPr>
        <w:pStyle w:val="Heading1"/>
        <w:widowControl w:val="0"/>
        <w:tabs>
          <w:tab w:val="clear" w:pos="360"/>
        </w:tabs>
        <w:rPr>
          <w:b w:val="0"/>
          <w:sz w:val="20"/>
          <w:szCs w:val="20"/>
          <w:lang w:val="pt-PT"/>
        </w:rPr>
      </w:pPr>
      <w:r w:rsidRPr="001F700A">
        <w:rPr>
          <w:color w:val="000000"/>
          <w:sz w:val="20"/>
          <w:lang w:val="pt-BR"/>
        </w:rPr>
        <w:t>BING MAPS.</w:t>
      </w:r>
      <w:r w:rsidR="003A611B" w:rsidRPr="00ED789D">
        <w:rPr>
          <w:lang w:val="pt-PT"/>
        </w:rPr>
        <w:t xml:space="preserve"> </w:t>
      </w:r>
      <w:r w:rsidRPr="001F700A">
        <w:rPr>
          <w:b w:val="0"/>
          <w:color w:val="000000"/>
          <w:sz w:val="20"/>
          <w:lang w:val="pt-BR"/>
        </w:rPr>
        <w:t>O software inclui o uso do Bing Maps.</w:t>
      </w:r>
      <w:r w:rsidR="003A611B" w:rsidRPr="00ED789D">
        <w:rPr>
          <w:lang w:val="pt-PT"/>
        </w:rPr>
        <w:t xml:space="preserve"> </w:t>
      </w:r>
      <w:r w:rsidRPr="001F700A">
        <w:rPr>
          <w:b w:val="0"/>
          <w:color w:val="000000"/>
          <w:sz w:val="20"/>
          <w:lang w:val="pt-BR"/>
        </w:rPr>
        <w:t xml:space="preserve">Você só poderá usar o conteúdo fornecido pelo Bing Maps, incluindo geocodes, no Microsoft Exchange Server 2013. O uso que você faz do Bing Maps também é regido pelos Termos de Uso do Usuário Final do Bing Maps </w:t>
      </w:r>
      <w:r w:rsidRPr="00A23B86">
        <w:rPr>
          <w:b w:val="0"/>
          <w:color w:val="000000"/>
          <w:sz w:val="20"/>
          <w:lang w:val="pt-BR"/>
        </w:rPr>
        <w:t>disponíveis em:</w:t>
      </w:r>
      <w:r w:rsidR="00AB2B97" w:rsidRPr="00ED789D">
        <w:rPr>
          <w:b w:val="0"/>
          <w:bCs w:val="0"/>
          <w:color w:val="000000"/>
          <w:sz w:val="20"/>
          <w:szCs w:val="20"/>
          <w:lang w:val="pt-PT"/>
        </w:rPr>
        <w:t xml:space="preserve"> </w:t>
      </w:r>
      <w:r w:rsidRPr="00A23B86">
        <w:rPr>
          <w:b w:val="0"/>
          <w:sz w:val="20"/>
          <w:bdr w:val="none" w:sz="0" w:space="0" w:color="auto" w:frame="1"/>
          <w:lang w:val="pt-BR"/>
        </w:rPr>
        <w:t>http://go.microsoft.com/?linkid=9710837</w:t>
      </w:r>
      <w:r w:rsidRPr="00A23B86">
        <w:rPr>
          <w:b w:val="0"/>
          <w:color w:val="000000"/>
          <w:sz w:val="20"/>
          <w:lang w:val="pt-BR"/>
        </w:rPr>
        <w:t xml:space="preserve"> e a </w:t>
      </w:r>
      <w:r w:rsidR="00F54FBC" w:rsidRPr="00A23B86">
        <w:rPr>
          <w:b w:val="0"/>
          <w:color w:val="000000"/>
          <w:sz w:val="20"/>
          <w:lang w:val="pt-BR"/>
        </w:rPr>
        <w:t>Política de Privacidade</w:t>
      </w:r>
      <w:r w:rsidRPr="00A23B86">
        <w:rPr>
          <w:b w:val="0"/>
          <w:color w:val="000000"/>
          <w:sz w:val="20"/>
          <w:lang w:val="pt-BR"/>
        </w:rPr>
        <w:t xml:space="preserve"> do Bing Maps disponível em:</w:t>
      </w:r>
      <w:r w:rsidR="00AB2B97" w:rsidRPr="00ED789D">
        <w:rPr>
          <w:b w:val="0"/>
          <w:bCs w:val="0"/>
          <w:color w:val="000000"/>
          <w:sz w:val="20"/>
          <w:szCs w:val="20"/>
          <w:bdr w:val="none" w:sz="0" w:space="0" w:color="auto" w:frame="1"/>
          <w:lang w:val="pt-PT"/>
        </w:rPr>
        <w:t xml:space="preserve"> </w:t>
      </w:r>
      <w:r w:rsidRPr="00A23B86">
        <w:rPr>
          <w:b w:val="0"/>
          <w:sz w:val="20"/>
          <w:bdr w:val="none" w:sz="0" w:space="0" w:color="auto" w:frame="1"/>
          <w:lang w:val="pt-BR"/>
        </w:rPr>
        <w:t>http://go.microsoft.com/fwlink/?LinkID=248686</w:t>
      </w:r>
      <w:r w:rsidRPr="00A23B86">
        <w:rPr>
          <w:b w:val="0"/>
          <w:color w:val="000000"/>
          <w:sz w:val="20"/>
          <w:lang w:val="pt-BR"/>
        </w:rPr>
        <w:t>.</w:t>
      </w:r>
    </w:p>
    <w:p w:rsidR="006F033D" w:rsidRPr="00ED789D" w:rsidRDefault="006F033D" w:rsidP="006F033D">
      <w:pPr>
        <w:pStyle w:val="Heading1"/>
        <w:widowControl w:val="0"/>
        <w:numPr>
          <w:ilvl w:val="0"/>
          <w:numId w:val="0"/>
        </w:numPr>
        <w:ind w:left="357"/>
        <w:rPr>
          <w:b w:val="0"/>
          <w:sz w:val="20"/>
          <w:szCs w:val="20"/>
          <w:lang w:val="pt-PT"/>
        </w:rPr>
      </w:pPr>
    </w:p>
    <w:p w:rsidR="004E48F3" w:rsidRPr="00ED789D" w:rsidRDefault="00ED5BFF" w:rsidP="00AB2357">
      <w:pPr>
        <w:pStyle w:val="Heading1"/>
        <w:widowControl w:val="0"/>
        <w:rPr>
          <w:rFonts w:eastAsia="SimSun"/>
          <w:b w:val="0"/>
          <w:sz w:val="20"/>
          <w:szCs w:val="20"/>
        </w:rPr>
      </w:pPr>
      <w:r w:rsidRPr="001F700A">
        <w:rPr>
          <w:rFonts w:eastAsia="SimSun"/>
          <w:sz w:val="20"/>
          <w:szCs w:val="20"/>
          <w:lang w:val="pt-BR"/>
        </w:rPr>
        <w:t>ESCOPO DA LICENÇA.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 xml:space="preserve">O software é </w:t>
      </w:r>
      <w:r w:rsidRPr="00ED789D">
        <w:rPr>
          <w:rFonts w:eastAsia="SimSun"/>
          <w:b w:val="0"/>
          <w:sz w:val="20"/>
          <w:szCs w:val="20"/>
          <w:lang w:val="pt-BR"/>
        </w:rPr>
        <w:t>licenciado, e não vendido.</w:t>
      </w:r>
      <w:r w:rsidRPr="00ED789D">
        <w:rPr>
          <w:rFonts w:eastAsia="SimSun"/>
          <w:b w:val="0"/>
          <w:sz w:val="20"/>
          <w:szCs w:val="20"/>
          <w:lang w:val="it-IT"/>
        </w:rPr>
        <w:t xml:space="preserve"> </w:t>
      </w:r>
      <w:r w:rsidRPr="00ED789D">
        <w:rPr>
          <w:rFonts w:eastAsia="SimSun"/>
          <w:b w:val="0"/>
          <w:sz w:val="20"/>
          <w:szCs w:val="20"/>
          <w:lang w:val="pt-BR"/>
        </w:rPr>
        <w:t>O presente contrato simplesmente confere a você alguns direitos de uso do software.</w:t>
      </w:r>
      <w:r w:rsidR="003A611B" w:rsidRPr="00ED789D">
        <w:rPr>
          <w:b w:val="0"/>
          <w:lang w:val="it-IT"/>
        </w:rPr>
        <w:t xml:space="preserve"> </w:t>
      </w:r>
      <w:r w:rsidR="003A611B" w:rsidRPr="00ED789D">
        <w:rPr>
          <w:b w:val="0"/>
          <w:sz w:val="20"/>
          <w:lang w:val="pt-BR"/>
        </w:rPr>
        <w:t>O Licenciante e a Microsoft se reservam todos os outros direitos.</w:t>
      </w:r>
      <w:r w:rsidR="003A611B" w:rsidRPr="00ED789D">
        <w:rPr>
          <w:b w:val="0"/>
          <w:lang w:val="it-IT"/>
        </w:rPr>
        <w:t xml:space="preserve"> </w:t>
      </w:r>
      <w:r w:rsidR="003A611B" w:rsidRPr="00ED789D">
        <w:rPr>
          <w:b w:val="0"/>
          <w:sz w:val="20"/>
          <w:lang w:val="pt-BR"/>
        </w:rPr>
        <w:t>Salvo quando a</w:t>
      </w:r>
      <w:r w:rsidR="00A23B86" w:rsidRPr="00ED789D">
        <w:rPr>
          <w:b w:val="0"/>
          <w:sz w:val="20"/>
          <w:lang w:val="pt-BR"/>
        </w:rPr>
        <w:t> </w:t>
      </w:r>
      <w:r w:rsidR="003A611B" w:rsidRPr="00ED789D">
        <w:rPr>
          <w:b w:val="0"/>
          <w:sz w:val="20"/>
          <w:lang w:val="pt-BR"/>
        </w:rPr>
        <w:t>lei aplicável conferir outros direitos, não obstante a presente limitação, o software deve ser usado conforme expressamente permitido no presente contrato.</w:t>
      </w:r>
      <w:r w:rsidR="003A611B" w:rsidRPr="00ED789D">
        <w:rPr>
          <w:b w:val="0"/>
          <w:lang w:val="it-IT"/>
        </w:rPr>
        <w:t xml:space="preserve"> </w:t>
      </w:r>
      <w:r w:rsidR="003A611B" w:rsidRPr="00ED789D">
        <w:rPr>
          <w:b w:val="0"/>
          <w:sz w:val="20"/>
          <w:lang w:val="pt-BR"/>
        </w:rPr>
        <w:t>Assim, devem ser respeitadas todas e quaisquer limitações técnicas</w:t>
      </w:r>
      <w:r w:rsidR="00AB2357" w:rsidRPr="00ED789D">
        <w:rPr>
          <w:b w:val="0"/>
          <w:sz w:val="20"/>
          <w:lang w:val="pt-BR"/>
        </w:rPr>
        <w:t> </w:t>
      </w:r>
      <w:r w:rsidR="003A611B" w:rsidRPr="00ED789D">
        <w:rPr>
          <w:b w:val="0"/>
          <w:sz w:val="20"/>
          <w:lang w:val="pt-BR"/>
        </w:rPr>
        <w:t>do software que restrinjam seu uso.</w:t>
      </w:r>
      <w:r w:rsidR="003A611B" w:rsidRPr="00ED789D">
        <w:rPr>
          <w:b w:val="0"/>
          <w:lang w:val="pt-PT"/>
        </w:rPr>
        <w:t xml:space="preserve"> </w:t>
      </w:r>
      <w:r w:rsidR="003A611B" w:rsidRPr="00ED789D">
        <w:rPr>
          <w:b w:val="0"/>
          <w:sz w:val="20"/>
          <w:lang w:val="pt-BR"/>
        </w:rPr>
        <w:t>É vedado:</w:t>
      </w:r>
    </w:p>
    <w:p w:rsidR="004E48F3" w:rsidRPr="00ED789D" w:rsidRDefault="003A611B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contornar quaisquer limitações técnicas do software;</w:t>
      </w:r>
    </w:p>
    <w:p w:rsidR="004E48F3" w:rsidRPr="00AB2357" w:rsidRDefault="003A611B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efetuar engenharia reversa, descompilação ou desmontagem do software, salvo quando essa atividade for expressamente permitida pela lei aplicável, nos limites desta, não obstante a presente limitação;</w:t>
      </w:r>
    </w:p>
    <w:p w:rsidR="004E48F3" w:rsidRPr="00AB2357" w:rsidRDefault="003A611B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produzir mais cópias do software do que o especificado no presente contrato ou permitido pela lei aplicável, não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obstante a presente limitação;</w:t>
      </w:r>
    </w:p>
    <w:p w:rsidR="004E48F3" w:rsidRPr="00AB2357" w:rsidRDefault="003A611B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publicar o software para que terceiros o copiem;</w:t>
      </w:r>
    </w:p>
    <w:p w:rsidR="004E48F3" w:rsidRPr="00ED789D" w:rsidRDefault="003A611B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alugar, arrendar ou emprestar o software ou</w:t>
      </w:r>
    </w:p>
    <w:p w:rsidR="004E48F3" w:rsidRPr="00ED789D" w:rsidRDefault="003A611B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usar o software para serviços de hospedagem de software comercial.</w:t>
      </w:r>
    </w:p>
    <w:p w:rsidR="004E48F3" w:rsidRPr="00ED789D" w:rsidRDefault="003A611B">
      <w:pPr>
        <w:pStyle w:val="Body1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Os direitos de acesso ao software em qualquer dispositivo não concedem a você o direito de implementar patentes da Microsoft ou outras propriedades intelectuais da Microsoft em softwares ou dispositivos que acessam esse dispositivo.</w:t>
      </w:r>
    </w:p>
    <w:p w:rsidR="004E48F3" w:rsidRPr="001F700A" w:rsidRDefault="003A611B">
      <w:pPr>
        <w:pStyle w:val="Heading1"/>
        <w:widowControl w:val="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CÓPIA DE BACKUP.</w:t>
      </w:r>
    </w:p>
    <w:p w:rsidR="004E48F3" w:rsidRPr="00ED789D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Download Eletrônico.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Caso você tenha adquirido e baixado o software pela Internet, poderá fazer uma única cópia do software em um disco ou outra mídia a fim de criar instâncias do software.</w:t>
      </w:r>
    </w:p>
    <w:p w:rsidR="004E48F3" w:rsidRPr="00AB2357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DOCUMENTAÇÃO.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4E48F3" w:rsidRPr="00AB2357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ATUALIZAÇÃO.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Se este software estiver indicado como uma versão de atualização (</w:t>
      </w:r>
      <w:r w:rsidR="004F0B35" w:rsidRPr="001F700A">
        <w:rPr>
          <w:rFonts w:eastAsia="SimSun"/>
          <w:b w:val="0"/>
          <w:sz w:val="20"/>
          <w:szCs w:val="20"/>
          <w:lang w:val="pt-BR"/>
        </w:rPr>
        <w:t>“</w:t>
      </w:r>
      <w:r w:rsidRPr="001F700A">
        <w:rPr>
          <w:rFonts w:eastAsia="SimSun"/>
          <w:b w:val="0"/>
          <w:sz w:val="20"/>
          <w:szCs w:val="20"/>
          <w:lang w:val="pt-BR"/>
        </w:rPr>
        <w:t>upgrade</w:t>
      </w:r>
      <w:r w:rsidR="004F0B35" w:rsidRPr="001F700A">
        <w:rPr>
          <w:rFonts w:eastAsia="SimSun"/>
          <w:b w:val="0"/>
          <w:sz w:val="20"/>
          <w:szCs w:val="20"/>
          <w:lang w:val="pt-BR"/>
        </w:rPr>
        <w:t>”</w:t>
      </w:r>
      <w:r w:rsidRPr="001F700A">
        <w:rPr>
          <w:rFonts w:eastAsia="SimSun"/>
          <w:b w:val="0"/>
          <w:sz w:val="20"/>
          <w:szCs w:val="20"/>
          <w:lang w:val="pt-BR"/>
        </w:rPr>
        <w:t>), você só poderá usá-lo se possuir uma licença de uso do software habilitada para atualizações.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Se você fizer a atualização, este software substituirá a versão anterior e este contrato substituirá o contrato dessa versão anterior.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Você poderá usar a versão anterior somente como permitido na cláusula Downgrade a seguir.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Você não pode usar a versão anterior e este software ao mesmo tempo.</w:t>
      </w:r>
    </w:p>
    <w:p w:rsidR="004E48F3" w:rsidRPr="00ED789D" w:rsidRDefault="00ED5BFF" w:rsidP="005A3BE5">
      <w:pPr>
        <w:pStyle w:val="Heading1"/>
        <w:widowControl w:val="0"/>
        <w:tabs>
          <w:tab w:val="clear" w:pos="360"/>
        </w:tabs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RESTRIÇÕES DE EXPORTAÇÃO.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O software está sujeito às leis e aos regulamentos de exportação dos Estados Unidos.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Devem ser observadas e cumpridas todas as leis e os regulamentos de exportação nacionais e internacionais aplicáveis ao software.</w:t>
      </w:r>
      <w:r w:rsidRPr="00ED789D">
        <w:rPr>
          <w:rFonts w:eastAsia="SimSun"/>
          <w:sz w:val="20"/>
          <w:szCs w:val="20"/>
          <w:lang w:val="pt-P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As referidas leis e normas incluem restrições a destinos, usuários finais e uso final.</w:t>
      </w:r>
      <w:r w:rsidR="003A611B" w:rsidRPr="00ED789D">
        <w:rPr>
          <w:lang w:val="pt-PT"/>
        </w:rPr>
        <w:t xml:space="preserve"> </w:t>
      </w:r>
      <w:r w:rsidR="005A3BE5" w:rsidRPr="001F700A">
        <w:rPr>
          <w:b w:val="0"/>
          <w:sz w:val="20"/>
          <w:lang w:val="pt-BR"/>
        </w:rPr>
        <w:t xml:space="preserve">Para obter informações adicionais, consulte o site </w:t>
      </w:r>
      <w:r w:rsidR="005A3BE5" w:rsidRPr="00726DBE">
        <w:rPr>
          <w:rStyle w:val="Hyperlink"/>
          <w:rFonts w:cs="Tahoma"/>
          <w:b w:val="0"/>
          <w:color w:val="000000"/>
          <w:sz w:val="20"/>
          <w:u w:val="none"/>
          <w:lang w:val="pt-BR"/>
        </w:rPr>
        <w:t>www.microsoft.com/exporting</w:t>
      </w:r>
      <w:r w:rsidR="005A3BE5" w:rsidRPr="001F700A">
        <w:rPr>
          <w:b w:val="0"/>
          <w:sz w:val="20"/>
          <w:lang w:val="pt-BR"/>
        </w:rPr>
        <w:t>.</w:t>
      </w:r>
    </w:p>
    <w:p w:rsidR="004E48F3" w:rsidRPr="00AB2357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ACORDO INTEGRAL.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O presente contrato e os termos dos suplementos das atualizações e dos serviços baseados na Internet constituem o acordo integral referente ao software.</w:t>
      </w:r>
    </w:p>
    <w:p w:rsidR="004E48F3" w:rsidRPr="00ED789D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EFEITO LEGAL.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O presente contrato descreve determinados direitos legais.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Você poderá ter outros direitos de acordo com as leis do seu Estado ou país.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Você também poderá exercer direitos em relação ao Licenciante de quem adquiriu o software.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O presente contrato não altera os seus direitos previstos em leis do seu estado ou país caso estas proíbam tal alteração.</w:t>
      </w:r>
    </w:p>
    <w:p w:rsidR="00AB2B97" w:rsidRPr="00AB2357" w:rsidRDefault="00AB2B97" w:rsidP="00AB2B97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1F700A">
        <w:rPr>
          <w:sz w:val="20"/>
          <w:szCs w:val="20"/>
          <w:lang w:val="pt-BR"/>
        </w:rPr>
        <w:t>TOLERÂNCIA/PROTEÇÃO A FALHAS.</w:t>
      </w:r>
      <w:r w:rsidRPr="00AB2357">
        <w:rPr>
          <w:sz w:val="20"/>
          <w:szCs w:val="20"/>
          <w:lang w:val="it-IT"/>
        </w:rPr>
        <w:t xml:space="preserve"> </w:t>
      </w:r>
      <w:r w:rsidRPr="001F700A">
        <w:rPr>
          <w:sz w:val="20"/>
          <w:szCs w:val="20"/>
          <w:lang w:val="pt-BR"/>
        </w:rPr>
        <w:t>O SOFTWARE NÃO É TOLERANTE A FALHAS.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O LICENCIANTE DETERMINOU, DE FORMA INDEPENDENTE, COMO USAR O SOFTWARE NO 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:rsidR="00AB2B97" w:rsidRPr="00AB2357" w:rsidRDefault="00AB2B97" w:rsidP="005A3BE5">
      <w:pPr>
        <w:pStyle w:val="Heading1"/>
        <w:widowControl w:val="0"/>
        <w:tabs>
          <w:tab w:val="clear" w:pos="360"/>
        </w:tabs>
        <w:rPr>
          <w:b w:val="0"/>
          <w:sz w:val="20"/>
          <w:szCs w:val="20"/>
          <w:lang w:val="it-IT"/>
        </w:rPr>
      </w:pPr>
      <w:r w:rsidRPr="001F700A">
        <w:rPr>
          <w:sz w:val="20"/>
          <w:szCs w:val="20"/>
          <w:lang w:val="pt-BR"/>
        </w:rPr>
        <w:t>INEXISTÊNCIA DE GARANTIAS DA MICROSOFT.</w:t>
      </w:r>
      <w:r w:rsidRPr="00557246">
        <w:rPr>
          <w:sz w:val="20"/>
          <w:szCs w:val="20"/>
          <w:lang w:val="de-DE"/>
        </w:rPr>
        <w:t xml:space="preserve"> </w:t>
      </w:r>
      <w:r w:rsidRPr="001F700A">
        <w:rPr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  <w:r w:rsidR="003A611B" w:rsidRPr="00557246">
        <w:rPr>
          <w:lang w:val="de-DE"/>
        </w:rPr>
        <w:t xml:space="preserve"> </w:t>
      </w:r>
      <w:r w:rsidR="005A3BE5" w:rsidRPr="001F700A">
        <w:rPr>
          <w:sz w:val="20"/>
          <w:lang w:val="pt-BR"/>
        </w:rPr>
        <w:t xml:space="preserve">A MICROSOFT NÃO FORNECE UMA GARANTIA </w:t>
      </w:r>
      <w:r w:rsidR="00951D3E" w:rsidRPr="001F700A">
        <w:rPr>
          <w:sz w:val="20"/>
          <w:lang w:val="pt-BR"/>
        </w:rPr>
        <w:t xml:space="preserve">LEGAL DE ATENDIMENTO A </w:t>
      </w:r>
      <w:r w:rsidR="005A3BE5" w:rsidRPr="001F700A">
        <w:rPr>
          <w:sz w:val="20"/>
          <w:lang w:val="pt-BR"/>
        </w:rPr>
        <w:t xml:space="preserve">PADRÕES DE COMERCIALIZAÇÃO OU QUALQUER OUTRA GARANTIA EXPRESSA OU </w:t>
      </w:r>
      <w:r w:rsidR="00951D3E" w:rsidRPr="001F700A">
        <w:rPr>
          <w:sz w:val="20"/>
          <w:lang w:val="pt-BR"/>
        </w:rPr>
        <w:t>LEGAL</w:t>
      </w:r>
      <w:r w:rsidR="005A3BE5" w:rsidRPr="001F700A">
        <w:rPr>
          <w:sz w:val="20"/>
          <w:lang w:val="pt-BR"/>
        </w:rPr>
        <w:t>.</w:t>
      </w:r>
    </w:p>
    <w:p w:rsidR="00AB2B97" w:rsidRPr="00AB2357" w:rsidRDefault="00AB2B97" w:rsidP="00AB2B97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1F700A">
        <w:rPr>
          <w:sz w:val="20"/>
          <w:szCs w:val="20"/>
          <w:lang w:val="pt-BR"/>
        </w:rPr>
        <w:t>ISENÇÃO DE RESPONSABILIDADE DA MICROSOFT POR DETERMINADOS DANOS.</w:t>
      </w:r>
      <w:r w:rsidRPr="00557246">
        <w:rPr>
          <w:sz w:val="20"/>
          <w:szCs w:val="20"/>
          <w:lang w:val="de-DE"/>
        </w:rPr>
        <w:t xml:space="preserve"> </w:t>
      </w:r>
      <w:r w:rsidRPr="001F700A">
        <w:rPr>
          <w:sz w:val="20"/>
          <w:szCs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Pr="00AB2357">
        <w:rPr>
          <w:sz w:val="20"/>
          <w:szCs w:val="20"/>
          <w:lang w:val="de-DE"/>
        </w:rPr>
        <w:t xml:space="preserve"> </w:t>
      </w:r>
      <w:r w:rsidRPr="001F700A">
        <w:rPr>
          <w:sz w:val="20"/>
          <w:szCs w:val="20"/>
          <w:lang w:val="pt-BR"/>
        </w:rPr>
        <w:t>ESSA LIMITAÇÃO SERÁ APLICÁVEL MESMO QUE QUALQUER RECURSO DEIXE DE CUMPRIR O PROPÓSITO PRETENDIDO.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EM HIPÓTESE ALGUMA, A</w:t>
      </w:r>
      <w:r w:rsidR="00A23B86">
        <w:rPr>
          <w:sz w:val="20"/>
          <w:lang w:val="pt-BR"/>
        </w:rPr>
        <w:t> </w:t>
      </w:r>
      <w:r w:rsidR="003A611B" w:rsidRPr="001F700A">
        <w:rPr>
          <w:sz w:val="20"/>
          <w:lang w:val="pt-BR"/>
        </w:rPr>
        <w:t>MICROSOFT SE RESPONSABILIZARÁ POR QUALQUER QUANTIA QUE ULTRAPASSE DUZENTOS E CINQUENTA DÓLARES (US$ 250,00).</w:t>
      </w:r>
    </w:p>
    <w:p w:rsidR="00AB2B97" w:rsidRPr="00AB2357" w:rsidRDefault="00AB2B97" w:rsidP="00C9386B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1F700A">
        <w:rPr>
          <w:sz w:val="20"/>
          <w:szCs w:val="20"/>
          <w:lang w:val="pt-BR"/>
        </w:rPr>
        <w:t>SOMENTE PARA A AUSTRÁLIA.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 xml:space="preserve">As referências a </w:t>
      </w:r>
      <w:r w:rsidR="004F0B35" w:rsidRPr="001F700A">
        <w:rPr>
          <w:sz w:val="20"/>
          <w:lang w:val="pt-BR"/>
        </w:rPr>
        <w:t>“</w:t>
      </w:r>
      <w:r w:rsidR="003A611B" w:rsidRPr="001F700A">
        <w:rPr>
          <w:sz w:val="20"/>
          <w:lang w:val="pt-BR"/>
        </w:rPr>
        <w:t>Garantia Limitada</w:t>
      </w:r>
      <w:r w:rsidR="004F0B35" w:rsidRPr="001F700A">
        <w:rPr>
          <w:sz w:val="20"/>
          <w:lang w:val="pt-BR"/>
        </w:rPr>
        <w:t>”</w:t>
      </w:r>
      <w:r w:rsidR="003A611B" w:rsidRPr="001F700A">
        <w:rPr>
          <w:sz w:val="20"/>
          <w:lang w:val="pt-BR"/>
        </w:rPr>
        <w:t xml:space="preserve"> são referências à garantia contratual fornecida pela Microsoft.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Essa garantia é fornecida em adição a outros direitos e recursos previstos em lei, que você possa ter, inclusive seus direitos e recursos de acordo com as garantias estatutárias da Australian Consumer Law (Lei do Consumidor Australiana).</w:t>
      </w:r>
    </w:p>
    <w:p w:rsidR="00AB2B97" w:rsidRPr="00AB2357" w:rsidRDefault="003A611B" w:rsidP="00C9386B">
      <w:pPr>
        <w:widowControl w:val="0"/>
        <w:ind w:left="360"/>
        <w:rPr>
          <w:b/>
          <w:sz w:val="20"/>
          <w:szCs w:val="20"/>
          <w:lang w:val="it-IT"/>
        </w:rPr>
      </w:pPr>
      <w:r w:rsidRPr="001F700A">
        <w:rPr>
          <w:b/>
          <w:sz w:val="20"/>
          <w:lang w:val="pt-BR"/>
        </w:rPr>
        <w:t>Se a Australian Consumer Law (Lei do Consumidor Australiana) se aplicar à sua compra, as seguintes disposições serão aplicadas a você:</w:t>
      </w:r>
      <w:r w:rsidR="00AB2B97" w:rsidRPr="00AB2357">
        <w:rPr>
          <w:b/>
          <w:sz w:val="20"/>
          <w:szCs w:val="20"/>
          <w:lang w:val="it-IT"/>
        </w:rPr>
        <w:t xml:space="preserve"> </w:t>
      </w:r>
      <w:r w:rsidR="00AB2B97" w:rsidRPr="001F700A">
        <w:rPr>
          <w:b/>
          <w:sz w:val="20"/>
          <w:szCs w:val="20"/>
          <w:lang w:val="pt-BR"/>
        </w:rPr>
        <w:t>Nossas mercadorias vêm com garantias que não podem ser excluídas pela Australian Consumer Law (Lei do Consumidor Australiana).</w:t>
      </w:r>
      <w:r w:rsidR="00AB2B97" w:rsidRPr="00AB2357">
        <w:rPr>
          <w:b/>
          <w:sz w:val="20"/>
          <w:szCs w:val="20"/>
          <w:lang w:val="it-IT"/>
        </w:rPr>
        <w:t xml:space="preserve"> </w:t>
      </w:r>
      <w:r w:rsidR="00AB2B97" w:rsidRPr="001F700A">
        <w:rPr>
          <w:b/>
          <w:sz w:val="20"/>
          <w:szCs w:val="20"/>
          <w:lang w:val="pt-BR"/>
        </w:rPr>
        <w:t>Você está qualificado para uma substituição ou um reembolso por motivo de falha maior e compensação por qualquer outra perda ou dano razoavelmente previsível.</w:t>
      </w:r>
      <w:r w:rsidR="00AB2B97" w:rsidRPr="00AB2357">
        <w:rPr>
          <w:b/>
          <w:sz w:val="20"/>
          <w:szCs w:val="20"/>
          <w:lang w:val="it-IT"/>
        </w:rPr>
        <w:t xml:space="preserve"> </w:t>
      </w:r>
      <w:r w:rsidR="00AB2B97" w:rsidRPr="001F700A">
        <w:rPr>
          <w:b/>
          <w:sz w:val="20"/>
          <w:szCs w:val="20"/>
          <w:lang w:val="pt-BR"/>
        </w:rPr>
        <w:t>Você também está qualificado para ter as mercadorias reparadas ou substituídas se elas não tiverem a qualidade aceitável e se a falha não resultar em uma falha maior.</w:t>
      </w:r>
    </w:p>
    <w:p w:rsidR="00E11BE4" w:rsidRPr="00AB2357" w:rsidRDefault="003A611B" w:rsidP="00E11BE4">
      <w:pPr>
        <w:rPr>
          <w:lang w:val="it-IT"/>
        </w:rPr>
      </w:pPr>
      <w:r w:rsidRPr="001F700A">
        <w:rPr>
          <w:lang w:val="pt-BR"/>
        </w:rPr>
        <w:t>Microsoft é marca comercial registrada da Microsoft Corporation nos Estados Unidos e/ou em outros países.</w:t>
      </w:r>
    </w:p>
    <w:sectPr w:rsidR="00E11BE4" w:rsidRPr="00AB2357" w:rsidSect="000D13A9">
      <w:headerReference w:type="even" r:id="rId8"/>
      <w:footerReference w:type="default" r:id="rId9"/>
      <w:headerReference w:type="first" r:id="rId10"/>
      <w:pgSz w:w="12240" w:h="15840" w:code="1"/>
      <w:pgMar w:top="720" w:right="720" w:bottom="720" w:left="720" w:header="0" w:footer="0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0488" w:rsidRDefault="00BB048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BB0488" w:rsidRDefault="00BB0488">
      <w:pPr>
        <w:rPr>
          <w:rFonts w:cs="Times New Roman"/>
        </w:rPr>
      </w:pPr>
      <w:r>
        <w:rPr>
          <w:rFonts w:cs="Times New Roman"/>
        </w:rPr>
        <w:continuationSeparator/>
      </w:r>
    </w:p>
  </w:endnote>
  <w:endnote w:type="continuationNotice" w:id="1">
    <w:p w:rsidR="00BB0488" w:rsidRDefault="00BB048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76A5" w:rsidRPr="00A23B86" w:rsidRDefault="008276A5" w:rsidP="008276A5">
    <w:pPr>
      <w:spacing w:after="0"/>
    </w:pPr>
    <w:r w:rsidRPr="00A23B86">
      <w:t>ISV Royalty Agreement EULA (October 1, 2012)</w:t>
    </w:r>
    <w:r w:rsidRPr="00A23B86">
      <w:tab/>
    </w:r>
    <w:r w:rsidRPr="00A23B86">
      <w:tab/>
    </w:r>
    <w:r w:rsidRPr="00A23B86">
      <w:tab/>
    </w:r>
    <w:r w:rsidRPr="00A23B86">
      <w:tab/>
    </w:r>
    <w:r w:rsidRPr="00A23B86">
      <w:tab/>
    </w:r>
    <w:r w:rsidRPr="00A23B86">
      <w:tab/>
    </w:r>
    <w:r w:rsidRPr="00A23B86">
      <w:tab/>
    </w:r>
    <w:r w:rsidRPr="00A23B86">
      <w:tab/>
      <w:t xml:space="preserve">Page </w:t>
    </w:r>
    <w:r w:rsidRPr="00A23B86">
      <w:fldChar w:fldCharType="begin"/>
    </w:r>
    <w:r w:rsidRPr="00A23B86">
      <w:instrText xml:space="preserve"> PAGE   \* MERGEFORMAT </w:instrText>
    </w:r>
    <w:r w:rsidRPr="00A23B86">
      <w:fldChar w:fldCharType="separate"/>
    </w:r>
    <w:r w:rsidR="00A87300">
      <w:rPr>
        <w:noProof/>
      </w:rPr>
      <w:t>2</w:t>
    </w:r>
    <w:r w:rsidRPr="00A23B86">
      <w:fldChar w:fldCharType="end"/>
    </w:r>
    <w:r w:rsidRPr="00A23B86">
      <w:t xml:space="preserve"> of </w:t>
    </w:r>
    <w:r w:rsidR="00A87300">
      <w:fldChar w:fldCharType="begin"/>
    </w:r>
    <w:r w:rsidR="00A87300">
      <w:instrText xml:space="preserve"> NUMPAGES   \* MERGEFORMAT </w:instrText>
    </w:r>
    <w:r w:rsidR="00A87300">
      <w:fldChar w:fldCharType="separate"/>
    </w:r>
    <w:r w:rsidR="00A87300">
      <w:rPr>
        <w:noProof/>
      </w:rPr>
      <w:t>3</w:t>
    </w:r>
    <w:r w:rsidR="00A87300">
      <w:rPr>
        <w:noProof/>
      </w:rPr>
      <w:fldChar w:fldCharType="end"/>
    </w:r>
  </w:p>
  <w:p w:rsidR="008276A5" w:rsidRPr="00A23B86" w:rsidRDefault="008276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0488" w:rsidRDefault="00BB048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BB0488" w:rsidRDefault="00BB0488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type="continuationNotice" w:id="1">
    <w:p w:rsidR="00BB0488" w:rsidRDefault="00BB0488">
      <w:pPr>
        <w:spacing w:before="0" w:after="0"/>
      </w:pPr>
    </w:p>
  </w:footnote>
  <w:footnote w:id="2">
    <w:p w:rsidR="00302DF5" w:rsidRPr="00ED789D" w:rsidRDefault="00302DF5" w:rsidP="00ED789D">
      <w:pPr>
        <w:pStyle w:val="FootnoteText"/>
        <w:spacing w:after="0"/>
        <w:rPr>
          <w:b/>
          <w:sz w:val="16"/>
          <w:szCs w:val="16"/>
          <w:lang w:val="pt-P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ED789D">
        <w:rPr>
          <w:b/>
          <w:sz w:val="16"/>
          <w:szCs w:val="16"/>
          <w:lang w:val="pt-PT"/>
        </w:rPr>
        <w:t xml:space="preserve"> </w:t>
      </w:r>
      <w:r w:rsidR="00ED789D" w:rsidRPr="00ED789D">
        <w:rPr>
          <w:b/>
          <w:sz w:val="16"/>
          <w:szCs w:val="16"/>
          <w:lang w:val="pt-BR"/>
        </w:rPr>
        <w:t>LICENCIANTE:</w:t>
      </w:r>
      <w:r w:rsidR="00ED789D" w:rsidRPr="00ED789D">
        <w:rPr>
          <w:b/>
          <w:sz w:val="16"/>
          <w:szCs w:val="16"/>
          <w:lang w:val="pt-PT"/>
        </w:rPr>
        <w:t xml:space="preserve"> </w:t>
      </w:r>
      <w:r w:rsidR="00ED789D" w:rsidRPr="00ED789D">
        <w:rPr>
          <w:b/>
          <w:sz w:val="16"/>
          <w:szCs w:val="16"/>
          <w:lang w:val="pt-BR"/>
        </w:rPr>
        <w:t>Inclua o nome apropriado, ou seja, “Enterprise Edition” ou “Standard Edition”.</w:t>
      </w:r>
      <w:r w:rsidR="00ED789D" w:rsidRPr="00ED789D">
        <w:rPr>
          <w:b/>
          <w:sz w:val="16"/>
          <w:szCs w:val="16"/>
          <w:lang w:val="pt-PT"/>
        </w:rPr>
        <w:t xml:space="preserve"> </w:t>
      </w:r>
      <w:r w:rsidR="00ED789D" w:rsidRPr="00ED789D">
        <w:rPr>
          <w:b/>
          <w:sz w:val="16"/>
          <w:szCs w:val="16"/>
          <w:lang w:val="pt-BR"/>
        </w:rPr>
        <w:t>Por exemplo, se o software licenciado for Microsoft Exchange Server 2013, Enterprise Edition, o nome será:</w:t>
      </w:r>
      <w:r w:rsidR="00ED789D" w:rsidRPr="00ED789D">
        <w:rPr>
          <w:b/>
          <w:sz w:val="16"/>
          <w:szCs w:val="16"/>
          <w:lang w:val="pt-PT"/>
        </w:rPr>
        <w:t xml:space="preserve"> </w:t>
      </w:r>
      <w:r w:rsidR="00ED789D" w:rsidRPr="00ED789D">
        <w:rPr>
          <w:b/>
          <w:sz w:val="16"/>
          <w:szCs w:val="16"/>
          <w:lang w:val="pt-BR"/>
        </w:rPr>
        <w:t>Microsoft</w:t>
      </w:r>
      <w:r w:rsidR="00ED789D" w:rsidRPr="00ED789D">
        <w:rPr>
          <w:b/>
          <w:sz w:val="16"/>
          <w:szCs w:val="16"/>
          <w:vertAlign w:val="superscript"/>
          <w:lang w:val="pt-BR"/>
        </w:rPr>
        <w:t>®</w:t>
      </w:r>
      <w:r w:rsidR="00ED789D" w:rsidRPr="00ED789D">
        <w:rPr>
          <w:b/>
          <w:sz w:val="16"/>
          <w:szCs w:val="16"/>
          <w:lang w:val="pt-BR"/>
        </w:rPr>
        <w:t xml:space="preserve"> Exchange</w:t>
      </w:r>
      <w:r w:rsidR="00ED789D" w:rsidRPr="00ED789D">
        <w:rPr>
          <w:b/>
          <w:sz w:val="16"/>
          <w:szCs w:val="16"/>
          <w:vertAlign w:val="superscript"/>
          <w:lang w:val="pt-BR"/>
        </w:rPr>
        <w:t>®</w:t>
      </w:r>
      <w:r w:rsidR="00ED789D" w:rsidRPr="00ED789D">
        <w:rPr>
          <w:b/>
          <w:sz w:val="16"/>
          <w:szCs w:val="16"/>
          <w:lang w:val="pt-BR"/>
        </w:rPr>
        <w:t xml:space="preserve"> Server 2013 Enterprise Edition</w:t>
      </w:r>
      <w:r w:rsidRPr="00E80F6F">
        <w:rPr>
          <w:b/>
          <w:sz w:val="16"/>
          <w:szCs w:val="16"/>
          <w:lang w:val="pt-BR"/>
        </w:rPr>
        <w:t>.</w:t>
      </w:r>
    </w:p>
  </w:footnote>
  <w:footnote w:id="3">
    <w:p w:rsidR="0076280A" w:rsidRPr="00AB2357" w:rsidRDefault="0076280A" w:rsidP="00ED789D">
      <w:pPr>
        <w:pStyle w:val="FootnoteText"/>
        <w:spacing w:after="0"/>
        <w:rPr>
          <w:b/>
          <w:sz w:val="16"/>
          <w:szCs w:val="16"/>
          <w:lang w:val="it-I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AB2357">
        <w:rPr>
          <w:b/>
          <w:sz w:val="16"/>
          <w:szCs w:val="16"/>
          <w:lang w:val="it-IT"/>
        </w:rPr>
        <w:t xml:space="preserve"> </w:t>
      </w:r>
      <w:r w:rsidR="00ED789D" w:rsidRPr="00ED789D">
        <w:rPr>
          <w:b/>
          <w:sz w:val="16"/>
          <w:szCs w:val="16"/>
          <w:lang w:val="pt-BR"/>
        </w:rPr>
        <w:t>LICENCIANTE: Especifique o número total de licenças de servidor previstas neste contrato para o usuário final</w:t>
      </w:r>
      <w:r w:rsidRPr="00E80F6F">
        <w:rPr>
          <w:b/>
          <w:sz w:val="16"/>
          <w:szCs w:val="16"/>
          <w:lang w:val="pt-BR"/>
        </w:rPr>
        <w:t>.</w:t>
      </w:r>
    </w:p>
  </w:footnote>
  <w:footnote w:id="4">
    <w:p w:rsidR="0076280A" w:rsidRPr="00AB2357" w:rsidRDefault="0076280A" w:rsidP="00ED789D">
      <w:pPr>
        <w:pStyle w:val="FootnoteText"/>
        <w:spacing w:after="0"/>
        <w:rPr>
          <w:b/>
          <w:sz w:val="16"/>
          <w:szCs w:val="16"/>
          <w:lang w:val="it-I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AB2357">
        <w:rPr>
          <w:b/>
          <w:sz w:val="16"/>
          <w:szCs w:val="16"/>
          <w:lang w:val="it-IT"/>
        </w:rPr>
        <w:t xml:space="preserve"> </w:t>
      </w:r>
      <w:r w:rsidR="00ED789D" w:rsidRPr="00ED789D">
        <w:rPr>
          <w:b/>
          <w:sz w:val="16"/>
          <w:szCs w:val="16"/>
          <w:lang w:val="pt-BR"/>
        </w:rPr>
        <w:t>LICENCIANTE: Especifique o número total de CALs de usuário que podem acessar direta ou indiretamente as instâncias do software</w:t>
      </w:r>
      <w:r w:rsidR="00ED789D">
        <w:rPr>
          <w:b/>
          <w:sz w:val="16"/>
          <w:szCs w:val="16"/>
          <w:lang w:val="pt-BR"/>
        </w:rPr>
        <w:t> </w:t>
      </w:r>
      <w:r w:rsidR="00ED789D" w:rsidRPr="00ED789D">
        <w:rPr>
          <w:b/>
          <w:sz w:val="16"/>
          <w:szCs w:val="16"/>
          <w:lang w:val="pt-BR"/>
        </w:rPr>
        <w:t>de servidor licenciadas de acordo com este contrato</w:t>
      </w:r>
      <w:r w:rsidRPr="00E80F6F">
        <w:rPr>
          <w:b/>
          <w:sz w:val="16"/>
          <w:szCs w:val="16"/>
          <w:lang w:val="pt-BR"/>
        </w:rPr>
        <w:t>.</w:t>
      </w:r>
    </w:p>
  </w:footnote>
  <w:footnote w:id="5">
    <w:p w:rsidR="0076280A" w:rsidRPr="00AB2357" w:rsidRDefault="0076280A" w:rsidP="00ED789D">
      <w:pPr>
        <w:pStyle w:val="FootnoteText"/>
        <w:spacing w:after="0"/>
        <w:rPr>
          <w:b/>
          <w:sz w:val="16"/>
          <w:szCs w:val="16"/>
          <w:lang w:val="it-I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AB2357">
        <w:rPr>
          <w:b/>
          <w:sz w:val="16"/>
          <w:szCs w:val="16"/>
          <w:lang w:val="it-IT"/>
        </w:rPr>
        <w:t xml:space="preserve"> </w:t>
      </w:r>
      <w:r w:rsidR="00ED789D" w:rsidRPr="00ED789D">
        <w:rPr>
          <w:b/>
          <w:sz w:val="16"/>
          <w:szCs w:val="16"/>
          <w:lang w:val="pt-BR"/>
        </w:rPr>
        <w:t>LICENCIANTE: Especifique o número total de CALs de dispositivo que podem acessar direta ou indiretamente as instâncias do software de servidor licenciadas de acordo com este contrato</w:t>
      </w:r>
      <w:r w:rsidRPr="00E80F6F">
        <w:rPr>
          <w:b/>
          <w:sz w:val="16"/>
          <w:szCs w:val="16"/>
          <w:lang w:val="pt-BR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C7F" w:rsidRDefault="008E4C7F">
    <w:pPr>
      <w:pStyle w:val="Header"/>
    </w:pPr>
  </w:p>
  <w:p w:rsidR="008E4C7F" w:rsidRDefault="00A87300">
    <w:pPr>
      <w:pStyle w:val="Header"/>
    </w:pPr>
    <w:r>
      <w:rPr>
        <w:noProof/>
        <w:lang w:val="pt-BR" w:eastAsia="pt-BR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8078923" o:spid="_x0000_s2049" type="#_x0000_t136" style="position:absolute;margin-left:0;margin-top:0;width:527.85pt;height:131.9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&amp;quot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C7F" w:rsidRDefault="008E4C7F">
    <w:pPr>
      <w:pStyle w:val="Header"/>
    </w:pPr>
  </w:p>
  <w:p w:rsidR="008E4C7F" w:rsidRDefault="00A87300">
    <w:pPr>
      <w:pStyle w:val="Header"/>
    </w:pPr>
    <w:r>
      <w:rPr>
        <w:noProof/>
        <w:lang w:val="pt-BR"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8" o:spid="_x0000_s2050" type="#_x0000_t202" style="position:absolute;margin-left:0;margin-top:0;width:527.85pt;height:131.95pt;rotation:-45;z-index:-251659264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" o:allowincell="f" filled="f" stroked="f">
          <v:stroke joinstyle="round"/>
          <o:lock v:ext="edit" text="t" shapetype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F4FAF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 w15:restartNumberingAfterBreak="0">
    <w:nsid w:val="05523FD0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" w15:restartNumberingAfterBreak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148E9"/>
    <w:multiLevelType w:val="multilevel"/>
    <w:tmpl w:val="A5F6700A"/>
    <w:lvl w:ilvl="0">
      <w:start w:val="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 w15:restartNumberingAfterBreak="0">
    <w:nsid w:val="0E143671"/>
    <w:multiLevelType w:val="hybridMultilevel"/>
    <w:tmpl w:val="90F8F6C8"/>
    <w:lvl w:ilvl="0" w:tplc="DC7889D2">
      <w:start w:val="1"/>
      <w:numFmt w:val="bullet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FD500AF"/>
    <w:multiLevelType w:val="hybridMultilevel"/>
    <w:tmpl w:val="B8E826D6"/>
    <w:lvl w:ilvl="0" w:tplc="D7B620EE">
      <w:start w:val="1"/>
      <w:numFmt w:val="lowerRoman"/>
      <w:lvlText w:val="(%1)"/>
      <w:lvlJc w:val="left"/>
      <w:pPr>
        <w:ind w:left="180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 w15:restartNumberingAfterBreak="0">
    <w:nsid w:val="0FD76CCC"/>
    <w:multiLevelType w:val="hybridMultilevel"/>
    <w:tmpl w:val="8D7E91CC"/>
    <w:lvl w:ilvl="0" w:tplc="52ECABB6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8" w15:restartNumberingAfterBreak="0">
    <w:nsid w:val="17C52789"/>
    <w:multiLevelType w:val="multilevel"/>
    <w:tmpl w:val="6C00AA2C"/>
    <w:lvl w:ilvl="0">
      <w:start w:val="1"/>
      <w:numFmt w:val="decimal"/>
      <w:pStyle w:val="StyleHeading1NotBold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9" w15:restartNumberingAfterBreak="0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B20E95"/>
    <w:multiLevelType w:val="multilevel"/>
    <w:tmpl w:val="28582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1" w15:restartNumberingAfterBreak="0">
    <w:nsid w:val="1D865C65"/>
    <w:multiLevelType w:val="multilevel"/>
    <w:tmpl w:val="AD0642D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077" w:hanging="357"/>
      </w:pPr>
      <w:rPr>
        <w:rFonts w:ascii="Symbol" w:hAnsi="Symbol" w:hint="default"/>
        <w:b/>
        <w:i w:val="0"/>
        <w:sz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 w15:restartNumberingAfterBreak="0">
    <w:nsid w:val="21840C0F"/>
    <w:multiLevelType w:val="multilevel"/>
    <w:tmpl w:val="1BF8526A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3" w15:restartNumberingAfterBreak="0">
    <w:nsid w:val="225F3CE0"/>
    <w:multiLevelType w:val="hybridMultilevel"/>
    <w:tmpl w:val="425E7030"/>
    <w:lvl w:ilvl="0" w:tplc="5FE0B1E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333333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84392"/>
    <w:multiLevelType w:val="hybridMultilevel"/>
    <w:tmpl w:val="F8429C6A"/>
    <w:lvl w:ilvl="0" w:tplc="04090001">
      <w:start w:val="1"/>
      <w:numFmt w:val="bullet"/>
      <w:lvlText w:val=""/>
      <w:lvlJc w:val="left"/>
      <w:pPr>
        <w:ind w:left="25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3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9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5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74" w:hanging="360"/>
      </w:pPr>
      <w:rPr>
        <w:rFonts w:ascii="Wingdings" w:hAnsi="Wingdings" w:hint="default"/>
      </w:rPr>
    </w:lvl>
  </w:abstractNum>
  <w:abstractNum w:abstractNumId="16" w15:restartNumberingAfterBreak="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7664814"/>
    <w:multiLevelType w:val="hybridMultilevel"/>
    <w:tmpl w:val="028C2FDA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46AEFE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1B49F4"/>
    <w:multiLevelType w:val="multilevel"/>
    <w:tmpl w:val="DA2ED0CE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ascii="Trebuchet MS" w:hAnsi="Trebuchet MS" w:cs="Times New Roman"/>
        <w:b/>
        <w:sz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rebuchet MS" w:hAnsi="Trebuchet MS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ascii="Trebuchet MS" w:hAnsi="Trebuchet MS" w:cs="Times New Roman"/>
        <w:sz w:val="18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0" w15:restartNumberingAfterBreak="0">
    <w:nsid w:val="58AE5B89"/>
    <w:multiLevelType w:val="hybridMultilevel"/>
    <w:tmpl w:val="B8307F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C4675B7"/>
    <w:multiLevelType w:val="multilevel"/>
    <w:tmpl w:val="F0CC6FB8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upperRoman"/>
      <w:lvlText w:val="%3."/>
      <w:lvlJc w:val="righ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5" w15:restartNumberingAfterBreak="0">
    <w:nsid w:val="6E2C692F"/>
    <w:multiLevelType w:val="hybridMultilevel"/>
    <w:tmpl w:val="F46C7ECE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927DBA"/>
    <w:multiLevelType w:val="hybridMultilevel"/>
    <w:tmpl w:val="CE9832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9"/>
  </w:num>
  <w:num w:numId="3">
    <w:abstractNumId w:val="22"/>
  </w:num>
  <w:num w:numId="4">
    <w:abstractNumId w:val="21"/>
  </w:num>
  <w:num w:numId="5">
    <w:abstractNumId w:val="25"/>
  </w:num>
  <w:num w:numId="6">
    <w:abstractNumId w:val="26"/>
  </w:num>
  <w:num w:numId="7">
    <w:abstractNumId w:val="18"/>
  </w:num>
  <w:num w:numId="8">
    <w:abstractNumId w:val="14"/>
  </w:num>
  <w:num w:numId="9">
    <w:abstractNumId w:val="2"/>
  </w:num>
  <w:num w:numId="10">
    <w:abstractNumId w:val="7"/>
  </w:num>
  <w:num w:numId="11">
    <w:abstractNumId w:val="23"/>
  </w:num>
  <w:num w:numId="12">
    <w:abstractNumId w:val="17"/>
  </w:num>
  <w:num w:numId="13">
    <w:abstractNumId w:val="12"/>
  </w:num>
  <w:num w:numId="14">
    <w:abstractNumId w:val="8"/>
  </w:num>
  <w:num w:numId="15">
    <w:abstractNumId w:val="19"/>
    <w:lvlOverride w:ilvl="0">
      <w:lvl w:ilvl="0">
        <w:start w:val="1"/>
        <w:numFmt w:val="upperRoman"/>
        <w:lvlText w:val="%1)"/>
        <w:lvlJc w:val="left"/>
        <w:pPr>
          <w:tabs>
            <w:tab w:val="num" w:pos="360"/>
          </w:tabs>
          <w:ind w:left="360" w:hanging="360"/>
        </w:pPr>
        <w:rPr>
          <w:rFonts w:ascii="Tahoma" w:hAnsi="Tahoma" w:cs="Tahoma" w:hint="default"/>
          <w:b/>
          <w:sz w:val="18"/>
        </w:rPr>
      </w:lvl>
    </w:lvlOverride>
    <w:lvlOverride w:ilvl="1">
      <w:lvl w:ilvl="1">
        <w:start w:val="1"/>
        <w:numFmt w:val="lowerLetter"/>
        <w:lvlText w:val="%2)"/>
        <w:lvlJc w:val="left"/>
        <w:pPr>
          <w:tabs>
            <w:tab w:val="num" w:pos="720"/>
          </w:tabs>
          <w:ind w:left="720" w:hanging="360"/>
        </w:pPr>
        <w:rPr>
          <w:rFonts w:ascii="Tahoma" w:hAnsi="Tahoma" w:cs="Tahoma" w:hint="default"/>
          <w:b/>
          <w:sz w:val="18"/>
        </w:rPr>
      </w:lvl>
    </w:lvlOverride>
    <w:lvlOverride w:ilvl="2">
      <w:lvl w:ilvl="2">
        <w:numFmt w:val="decimal"/>
        <w:lvlText w:val="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"/>
        <w:lvlJc w:val="left"/>
        <w:rPr>
          <w:rFonts w:cs="Times New Roman"/>
        </w:rPr>
      </w:lvl>
    </w:lvlOverride>
  </w:num>
  <w:num w:numId="16">
    <w:abstractNumId w:val="10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</w:num>
  <w:num w:numId="20">
    <w:abstractNumId w:val="16"/>
  </w:num>
  <w:num w:numId="21">
    <w:abstractNumId w:val="3"/>
  </w:num>
  <w:num w:numId="22">
    <w:abstractNumId w:val="0"/>
  </w:num>
  <w:num w:numId="23">
    <w:abstractNumId w:val="6"/>
  </w:num>
  <w:num w:numId="24">
    <w:abstractNumId w:val="27"/>
  </w:num>
  <w:num w:numId="25">
    <w:abstractNumId w:val="15"/>
  </w:num>
  <w:num w:numId="26">
    <w:abstractNumId w:val="4"/>
  </w:num>
  <w:num w:numId="27">
    <w:abstractNumId w:val="1"/>
  </w:num>
  <w:num w:numId="28">
    <w:abstractNumId w:val="13"/>
  </w:num>
  <w:num w:numId="29">
    <w:abstractNumId w:val="20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24"/>
  </w:num>
  <w:num w:numId="35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Bua1NJZPkS6uTY2Q3r2UL9Xk1GuKKN7gjqrSYsxgh4MCAJavaSox21P0i1fxFSyao895iGA4AL44lLwIozh69Q==" w:salt="EfRkYszE3CBH9C4pyf1mXQ=="/>
  <w:defaultTabStop w:val="720"/>
  <w:hyphenationZone w:val="425"/>
  <w:doNotHyphenateCaps/>
  <w:drawingGridHorizontalSpacing w:val="95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48F3"/>
    <w:rsid w:val="00011AB5"/>
    <w:rsid w:val="00016648"/>
    <w:rsid w:val="000617C2"/>
    <w:rsid w:val="00092903"/>
    <w:rsid w:val="000C1E82"/>
    <w:rsid w:val="000D13A9"/>
    <w:rsid w:val="000D5540"/>
    <w:rsid w:val="000F08F9"/>
    <w:rsid w:val="00100AC3"/>
    <w:rsid w:val="001162C1"/>
    <w:rsid w:val="001525D3"/>
    <w:rsid w:val="00166545"/>
    <w:rsid w:val="00180B95"/>
    <w:rsid w:val="00184C8D"/>
    <w:rsid w:val="001A3DFF"/>
    <w:rsid w:val="001C07E1"/>
    <w:rsid w:val="001E335C"/>
    <w:rsid w:val="001F700A"/>
    <w:rsid w:val="00213A64"/>
    <w:rsid w:val="00221030"/>
    <w:rsid w:val="002A4DC7"/>
    <w:rsid w:val="002A554B"/>
    <w:rsid w:val="002C09EC"/>
    <w:rsid w:val="002C595B"/>
    <w:rsid w:val="002F63D8"/>
    <w:rsid w:val="00302DF5"/>
    <w:rsid w:val="003576F4"/>
    <w:rsid w:val="0037061A"/>
    <w:rsid w:val="003A611B"/>
    <w:rsid w:val="003E5656"/>
    <w:rsid w:val="003F4392"/>
    <w:rsid w:val="00417002"/>
    <w:rsid w:val="00432F72"/>
    <w:rsid w:val="004641D6"/>
    <w:rsid w:val="004A643C"/>
    <w:rsid w:val="004E48F3"/>
    <w:rsid w:val="004F0B35"/>
    <w:rsid w:val="005446B6"/>
    <w:rsid w:val="00557246"/>
    <w:rsid w:val="0057140A"/>
    <w:rsid w:val="005A3BE5"/>
    <w:rsid w:val="005F390C"/>
    <w:rsid w:val="00630705"/>
    <w:rsid w:val="006427B9"/>
    <w:rsid w:val="006B5283"/>
    <w:rsid w:val="006C0CF8"/>
    <w:rsid w:val="006F033D"/>
    <w:rsid w:val="006F3DD8"/>
    <w:rsid w:val="007113A9"/>
    <w:rsid w:val="00711742"/>
    <w:rsid w:val="00726DBE"/>
    <w:rsid w:val="00734FD9"/>
    <w:rsid w:val="0076280A"/>
    <w:rsid w:val="007C0F1B"/>
    <w:rsid w:val="007C61F9"/>
    <w:rsid w:val="007E52F1"/>
    <w:rsid w:val="008044D8"/>
    <w:rsid w:val="008276A5"/>
    <w:rsid w:val="0083357A"/>
    <w:rsid w:val="00836676"/>
    <w:rsid w:val="00842F25"/>
    <w:rsid w:val="0086166D"/>
    <w:rsid w:val="008712AB"/>
    <w:rsid w:val="008E4C7F"/>
    <w:rsid w:val="0090236C"/>
    <w:rsid w:val="00951D3E"/>
    <w:rsid w:val="0096455F"/>
    <w:rsid w:val="009912B4"/>
    <w:rsid w:val="009B4E17"/>
    <w:rsid w:val="009F3655"/>
    <w:rsid w:val="00A0689C"/>
    <w:rsid w:val="00A13A82"/>
    <w:rsid w:val="00A23B86"/>
    <w:rsid w:val="00A87300"/>
    <w:rsid w:val="00AB2357"/>
    <w:rsid w:val="00AB2B97"/>
    <w:rsid w:val="00B02742"/>
    <w:rsid w:val="00B07E25"/>
    <w:rsid w:val="00B26973"/>
    <w:rsid w:val="00B3583D"/>
    <w:rsid w:val="00B6196A"/>
    <w:rsid w:val="00B671DF"/>
    <w:rsid w:val="00B912D2"/>
    <w:rsid w:val="00BA4AB1"/>
    <w:rsid w:val="00BB0488"/>
    <w:rsid w:val="00BF0FD0"/>
    <w:rsid w:val="00BF4D83"/>
    <w:rsid w:val="00C34912"/>
    <w:rsid w:val="00C9386B"/>
    <w:rsid w:val="00D05BBD"/>
    <w:rsid w:val="00D232A6"/>
    <w:rsid w:val="00D711F3"/>
    <w:rsid w:val="00DB7D52"/>
    <w:rsid w:val="00E11BE4"/>
    <w:rsid w:val="00E465B5"/>
    <w:rsid w:val="00E80F6F"/>
    <w:rsid w:val="00EA736B"/>
    <w:rsid w:val="00EB30ED"/>
    <w:rsid w:val="00ED5BFF"/>
    <w:rsid w:val="00ED789D"/>
    <w:rsid w:val="00F23A82"/>
    <w:rsid w:val="00F25474"/>
    <w:rsid w:val="00F54FBC"/>
    <w:rsid w:val="00F760D3"/>
    <w:rsid w:val="00FA05E5"/>
    <w:rsid w:val="00FA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3A9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0D13A9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0D13A9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0D13A9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0D13A9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0D13A9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0D13A9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0D13A9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0D13A9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0D13A9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0D13A9"/>
    <w:rPr>
      <w:rFonts w:ascii="Tahoma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0D13A9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0D13A9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0D13A9"/>
    <w:pPr>
      <w:spacing w:before="0" w:after="160" w:line="240" w:lineRule="exact"/>
    </w:pPr>
  </w:style>
  <w:style w:type="character" w:customStyle="1" w:styleId="CharChar">
    <w:name w:val="Char Char"/>
    <w:rsid w:val="000D13A9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0D13A9"/>
    <w:pPr>
      <w:ind w:left="357"/>
    </w:pPr>
  </w:style>
  <w:style w:type="paragraph" w:customStyle="1" w:styleId="Body2">
    <w:name w:val="Body 2"/>
    <w:basedOn w:val="Normal"/>
    <w:rsid w:val="000D13A9"/>
    <w:pPr>
      <w:ind w:left="720"/>
    </w:pPr>
  </w:style>
  <w:style w:type="paragraph" w:customStyle="1" w:styleId="Body3">
    <w:name w:val="Body 3"/>
    <w:basedOn w:val="Normal"/>
    <w:rsid w:val="000D13A9"/>
    <w:pPr>
      <w:ind w:left="1077"/>
    </w:pPr>
  </w:style>
  <w:style w:type="paragraph" w:customStyle="1" w:styleId="Body4">
    <w:name w:val="Body 4"/>
    <w:basedOn w:val="Normal"/>
    <w:rsid w:val="000D13A9"/>
    <w:pPr>
      <w:ind w:left="1435"/>
    </w:pPr>
  </w:style>
  <w:style w:type="paragraph" w:customStyle="1" w:styleId="Body5">
    <w:name w:val="Body 5"/>
    <w:basedOn w:val="Normal"/>
    <w:rsid w:val="000D13A9"/>
    <w:pPr>
      <w:ind w:left="1803"/>
    </w:pPr>
  </w:style>
  <w:style w:type="paragraph" w:customStyle="1" w:styleId="Body6">
    <w:name w:val="Body 6"/>
    <w:basedOn w:val="Normal"/>
    <w:rsid w:val="000D13A9"/>
    <w:pPr>
      <w:ind w:left="2160"/>
    </w:pPr>
  </w:style>
  <w:style w:type="character" w:customStyle="1" w:styleId="Body6Char">
    <w:name w:val="Body 6 Char"/>
    <w:rsid w:val="000D13A9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0D13A9"/>
    <w:pPr>
      <w:ind w:left="2506"/>
    </w:pPr>
  </w:style>
  <w:style w:type="paragraph" w:customStyle="1" w:styleId="Body8">
    <w:name w:val="Body 8"/>
    <w:basedOn w:val="Normal"/>
    <w:rsid w:val="000D13A9"/>
    <w:pPr>
      <w:ind w:left="2863"/>
    </w:pPr>
  </w:style>
  <w:style w:type="paragraph" w:customStyle="1" w:styleId="Body9">
    <w:name w:val="Body 9"/>
    <w:basedOn w:val="Normal"/>
    <w:rsid w:val="000D13A9"/>
    <w:pPr>
      <w:ind w:left="3221"/>
    </w:pPr>
  </w:style>
  <w:style w:type="paragraph" w:customStyle="1" w:styleId="Bullet1">
    <w:name w:val="Bullet 1"/>
    <w:basedOn w:val="Normal"/>
    <w:rsid w:val="000D13A9"/>
    <w:pPr>
      <w:numPr>
        <w:numId w:val="1"/>
      </w:numPr>
    </w:pPr>
  </w:style>
  <w:style w:type="paragraph" w:customStyle="1" w:styleId="Bullet2">
    <w:name w:val="Bullet 2"/>
    <w:basedOn w:val="Normal"/>
    <w:rsid w:val="000D13A9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0D13A9"/>
    <w:pPr>
      <w:numPr>
        <w:numId w:val="3"/>
      </w:numPr>
    </w:pPr>
  </w:style>
  <w:style w:type="character" w:customStyle="1" w:styleId="Bullet3Char">
    <w:name w:val="Bullet 3 Char"/>
    <w:rsid w:val="000D13A9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0D13A9"/>
    <w:pPr>
      <w:numPr>
        <w:numId w:val="4"/>
      </w:numPr>
    </w:pPr>
  </w:style>
  <w:style w:type="character" w:customStyle="1" w:styleId="Bullet4Char">
    <w:name w:val="Bullet 4 Char"/>
    <w:rsid w:val="000D13A9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0D13A9"/>
    <w:pPr>
      <w:numPr>
        <w:numId w:val="5"/>
      </w:numPr>
    </w:pPr>
  </w:style>
  <w:style w:type="paragraph" w:customStyle="1" w:styleId="Bullet6">
    <w:name w:val="Bullet 6"/>
    <w:basedOn w:val="Normal"/>
    <w:rsid w:val="000D13A9"/>
    <w:pPr>
      <w:numPr>
        <w:numId w:val="6"/>
      </w:numPr>
    </w:pPr>
  </w:style>
  <w:style w:type="paragraph" w:customStyle="1" w:styleId="Bullet7">
    <w:name w:val="Bullet 7"/>
    <w:basedOn w:val="Normal"/>
    <w:rsid w:val="000D13A9"/>
    <w:pPr>
      <w:numPr>
        <w:numId w:val="7"/>
      </w:numPr>
    </w:pPr>
  </w:style>
  <w:style w:type="paragraph" w:customStyle="1" w:styleId="Bullet8">
    <w:name w:val="Bullet 8"/>
    <w:basedOn w:val="Normal"/>
    <w:rsid w:val="000D13A9"/>
    <w:pPr>
      <w:numPr>
        <w:numId w:val="8"/>
      </w:numPr>
    </w:pPr>
  </w:style>
  <w:style w:type="paragraph" w:customStyle="1" w:styleId="Bullet9">
    <w:name w:val="Bullet 9"/>
    <w:basedOn w:val="Body9"/>
    <w:rsid w:val="000D13A9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0D13A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0D13A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0D13A9"/>
    <w:rPr>
      <w:b/>
      <w:bCs/>
    </w:rPr>
  </w:style>
  <w:style w:type="character" w:customStyle="1" w:styleId="PreambleChar">
    <w:name w:val="Preamble Char"/>
    <w:rsid w:val="000D13A9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0D13A9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0D13A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0D13A9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0D13A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0D13A9"/>
    <w:pPr>
      <w:numPr>
        <w:numId w:val="14"/>
      </w:numPr>
    </w:pPr>
    <w:rPr>
      <w:b/>
      <w:bCs/>
    </w:rPr>
  </w:style>
  <w:style w:type="paragraph" w:customStyle="1" w:styleId="Bullet3Underlined">
    <w:name w:val="Bullet 3 Underlined"/>
    <w:basedOn w:val="Bullet3"/>
    <w:rsid w:val="000D13A9"/>
    <w:rPr>
      <w:u w:val="single"/>
    </w:rPr>
  </w:style>
  <w:style w:type="character" w:customStyle="1" w:styleId="Bullet3UnderlinedChar">
    <w:name w:val="Bullet 3 Underlined Char"/>
    <w:rsid w:val="000D13A9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0D13A9"/>
    <w:rPr>
      <w:u w:val="single"/>
    </w:rPr>
  </w:style>
  <w:style w:type="character" w:styleId="Hyperlink">
    <w:name w:val="Hyperlink"/>
    <w:uiPriority w:val="99"/>
    <w:rsid w:val="000D13A9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0D13A9"/>
    <w:rPr>
      <w:u w:val="single"/>
    </w:rPr>
  </w:style>
  <w:style w:type="paragraph" w:customStyle="1" w:styleId="HeadingFrenchWarranty">
    <w:name w:val="Heading French Warranty"/>
    <w:basedOn w:val="Normal"/>
    <w:rsid w:val="000D13A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0D13A9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0D13A9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0D13A9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0D13A9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0D13A9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0D13A9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0D13A9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0D13A9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0D13A9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0D13A9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0D13A9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0D13A9"/>
  </w:style>
  <w:style w:type="character" w:customStyle="1" w:styleId="FootnoteTextChar">
    <w:name w:val="Footnote Text Char"/>
    <w:link w:val="Footnote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0D13A9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0D13A9"/>
  </w:style>
  <w:style w:type="character" w:customStyle="1" w:styleId="EndnoteTextChar">
    <w:name w:val="Endnote Text Char"/>
    <w:link w:val="Endnote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0D13A9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0D13A9"/>
  </w:style>
  <w:style w:type="character" w:customStyle="1" w:styleId="CommentTextChar">
    <w:name w:val="Comment Text Char"/>
    <w:link w:val="Comment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0D13A9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0D13A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0D13A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0D13A9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link w:val="Body0BoldChar"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0D13A9"/>
    <w:rPr>
      <w:rFonts w:ascii="Tahoma" w:hAnsi="Tahoma" w:cs="Tahoma"/>
      <w:sz w:val="19"/>
      <w:szCs w:val="19"/>
    </w:rPr>
  </w:style>
  <w:style w:type="character" w:customStyle="1" w:styleId="Heading2FrenchWarrantyChar">
    <w:name w:val="Heading 2 French Warranty Char"/>
    <w:link w:val="Heading2FrenchWarranty"/>
    <w:locked/>
    <w:rsid w:val="000D13A9"/>
    <w:rPr>
      <w:rFonts w:ascii="Tahoma" w:hAnsi="Tahoma" w:cs="Tahoma"/>
      <w:sz w:val="19"/>
      <w:szCs w:val="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D13A9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locked/>
    <w:rsid w:val="000D13A9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0D13A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0D13A9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0D13A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0D13A9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0D13A9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locked/>
    <w:rsid w:val="000D13A9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0D13A9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0D13A9"/>
    <w:rPr>
      <w:rFonts w:ascii="Trebuchet MS" w:hAnsi="Trebuchet MS"/>
      <w:color w:val="0000FF"/>
      <w:lang w:val="fr-FR" w:eastAsia="x-none"/>
    </w:rPr>
  </w:style>
  <w:style w:type="character" w:customStyle="1" w:styleId="Body0BoldChar">
    <w:name w:val="Body 0 Bold Char"/>
    <w:link w:val="Body0Bold"/>
    <w:locked/>
    <w:rsid w:val="000D13A9"/>
    <w:rPr>
      <w:rFonts w:ascii="Tahoma" w:hAnsi="Tahoma" w:cs="Tahoma"/>
      <w:b/>
      <w:bCs/>
      <w:sz w:val="19"/>
      <w:szCs w:val="19"/>
      <w:lang w:val="en-US" w:eastAsia="en-US" w:bidi="ar-SA"/>
    </w:rPr>
  </w:style>
  <w:style w:type="character" w:customStyle="1" w:styleId="LogoportDoNotTranslate">
    <w:name w:val="LogoportDoNotTranslate"/>
    <w:rsid w:val="000D13A9"/>
    <w:rPr>
      <w:rFonts w:ascii="Courier New" w:hAnsi="Courier New"/>
      <w:noProof/>
      <w:color w:val="808080"/>
    </w:rPr>
  </w:style>
  <w:style w:type="character" w:customStyle="1" w:styleId="tw4winError">
    <w:name w:val="tw4winError"/>
    <w:rsid w:val="000D13A9"/>
    <w:rPr>
      <w:rFonts w:ascii="Courier New" w:hAnsi="Courier New"/>
      <w:color w:val="00FF00"/>
      <w:sz w:val="40"/>
    </w:rPr>
  </w:style>
  <w:style w:type="character" w:customStyle="1" w:styleId="tw4winTerm">
    <w:name w:val="tw4winTerm"/>
    <w:rsid w:val="000D13A9"/>
    <w:rPr>
      <w:color w:val="0000FF"/>
    </w:rPr>
  </w:style>
  <w:style w:type="character" w:customStyle="1" w:styleId="LogoportPopup">
    <w:name w:val="LogoportPopup"/>
    <w:rsid w:val="000D13A9"/>
    <w:rPr>
      <w:rFonts w:ascii="Courier New" w:hAnsi="Courier New"/>
      <w:noProof/>
      <w:color w:val="008000"/>
    </w:rPr>
  </w:style>
  <w:style w:type="character" w:customStyle="1" w:styleId="LogoportJump">
    <w:name w:val="LogoportJump"/>
    <w:rsid w:val="000D13A9"/>
    <w:rPr>
      <w:rFonts w:ascii="Courier New" w:hAnsi="Courier New"/>
      <w:noProof/>
      <w:color w:val="008080"/>
    </w:rPr>
  </w:style>
  <w:style w:type="character" w:customStyle="1" w:styleId="LogoportMarkup">
    <w:name w:val="LogoportMarkup"/>
    <w:rsid w:val="000D13A9"/>
    <w:rPr>
      <w:rFonts w:ascii="Courier New" w:hAnsi="Courier New"/>
      <w:noProof/>
      <w:color w:val="FF0000"/>
    </w:rPr>
  </w:style>
  <w:style w:type="character" w:customStyle="1" w:styleId="DONOTTRANSLATE">
    <w:name w:val="DO_NOT_TRANSLATE"/>
    <w:rsid w:val="000D13A9"/>
    <w:rPr>
      <w:rFonts w:ascii="Courier New" w:hAnsi="Courier New"/>
      <w:noProof/>
      <w:color w:val="800000"/>
    </w:rPr>
  </w:style>
  <w:style w:type="character" w:customStyle="1" w:styleId="Heading2Char1">
    <w:name w:val="Heading 2 Char1"/>
    <w:rsid w:val="000D13A9"/>
    <w:rPr>
      <w:rFonts w:ascii="Trebuchet MS" w:hAnsi="Trebuchet MS"/>
      <w:b/>
      <w:color w:val="0000FF"/>
      <w:lang w:val="fr-FR" w:eastAsia="x-none"/>
    </w:rPr>
  </w:style>
  <w:style w:type="character" w:customStyle="1" w:styleId="Body2Char">
    <w:name w:val="Body 2 Char"/>
    <w:rsid w:val="000D13A9"/>
    <w:rPr>
      <w:rFonts w:ascii="Trebuchet MS" w:hAnsi="Trebuchet MS"/>
      <w:color w:val="0000FF"/>
      <w:lang w:val="fr-FR" w:eastAsia="x-none"/>
    </w:rPr>
  </w:style>
  <w:style w:type="paragraph" w:customStyle="1" w:styleId="StyleHeading1NotBold">
    <w:name w:val="Style Heading 1 + Not Bold"/>
    <w:basedOn w:val="Heading1"/>
    <w:rsid w:val="000D13A9"/>
    <w:pPr>
      <w:numPr>
        <w:numId w:val="14"/>
      </w:numPr>
    </w:pPr>
    <w:rPr>
      <w:b w:val="0"/>
      <w:bCs w:val="0"/>
      <w:lang w:eastAsia="fr-FR"/>
    </w:rPr>
  </w:style>
  <w:style w:type="paragraph" w:styleId="BodyText">
    <w:name w:val="Body Text"/>
    <w:basedOn w:val="Normal"/>
    <w:link w:val="BodyTextChar"/>
    <w:uiPriority w:val="99"/>
    <w:rsid w:val="000D13A9"/>
    <w:pPr>
      <w:pBdr>
        <w:top w:val="single" w:sz="12" w:space="1" w:color="FF0000"/>
        <w:left w:val="single" w:sz="24" w:space="4" w:color="FF0000"/>
        <w:bottom w:val="single" w:sz="12" w:space="1" w:color="FF0000"/>
        <w:right w:val="single" w:sz="12" w:space="4" w:color="FF0000"/>
      </w:pBdr>
      <w:shd w:val="pct25" w:color="C0C0C0" w:fill="FFFFFF"/>
      <w:autoSpaceDE w:val="0"/>
      <w:spacing w:before="0" w:after="0" w:line="1" w:lineRule="atLeast"/>
    </w:pPr>
    <w:rPr>
      <w:rFonts w:eastAsia="SimSun" w:cs="Arial"/>
      <w:sz w:val="20"/>
      <w:szCs w:val="20"/>
      <w:lang w:val="fr-FR" w:eastAsia="zh-CN"/>
    </w:rPr>
  </w:style>
  <w:style w:type="character" w:customStyle="1" w:styleId="BodyTextChar">
    <w:name w:val="Body Text Char"/>
    <w:link w:val="BodyText"/>
    <w:uiPriority w:val="99"/>
    <w:locked/>
    <w:rsid w:val="000D13A9"/>
    <w:rPr>
      <w:rFonts w:ascii="Tahoma" w:eastAsia="SimSun" w:hAnsi="Tahoma" w:cs="Arial"/>
      <w:sz w:val="20"/>
      <w:szCs w:val="20"/>
      <w:shd w:val="pct25" w:color="C0C0C0" w:fill="FFFFFF"/>
      <w:lang w:val="fr-FR" w:eastAsia="zh-CN"/>
    </w:rPr>
  </w:style>
  <w:style w:type="paragraph" w:customStyle="1" w:styleId="preamble0">
    <w:name w:val="preamble"/>
    <w:basedOn w:val="Normal"/>
    <w:rsid w:val="000D13A9"/>
    <w:rPr>
      <w:rFonts w:eastAsia="SimSun"/>
      <w:b/>
      <w:bCs/>
      <w:lang w:eastAsia="zh-CN"/>
    </w:rPr>
  </w:style>
  <w:style w:type="paragraph" w:customStyle="1" w:styleId="LIMPAT4WINEXTERNAL">
    <w:name w:val="LIMPA_T4WINEXTERNAL"/>
    <w:basedOn w:val="Normal"/>
    <w:link w:val="LIMPAT4WINEXTERNALChar"/>
    <w:rsid w:val="000D13A9"/>
    <w:pPr>
      <w:spacing w:before="0" w:after="0"/>
    </w:pPr>
    <w:rPr>
      <w:bCs/>
      <w:sz w:val="20"/>
      <w:szCs w:val="20"/>
      <w:vertAlign w:val="superscript"/>
      <w:lang w:val="bg-BG" w:eastAsia="zh-CN"/>
    </w:rPr>
  </w:style>
  <w:style w:type="character" w:customStyle="1" w:styleId="LIMPAT4WINEXTERNALChar">
    <w:name w:val="LIMPA_T4WINEXTERNAL Char"/>
    <w:link w:val="LIMPAT4WINEXTERNAL"/>
    <w:locked/>
    <w:rsid w:val="000D13A9"/>
    <w:rPr>
      <w:rFonts w:ascii="Tahoma" w:hAnsi="Tahoma" w:cs="Tahoma"/>
      <w:bCs/>
      <w:sz w:val="20"/>
      <w:szCs w:val="20"/>
      <w:vertAlign w:val="superscript"/>
      <w:lang w:val="bg-BG" w:eastAsia="zh-CN"/>
    </w:rPr>
  </w:style>
  <w:style w:type="paragraph" w:customStyle="1" w:styleId="StyleHeading195pt">
    <w:name w:val="Style Heading 1 + 9.5 pt"/>
    <w:basedOn w:val="Heading1"/>
    <w:rsid w:val="000D13A9"/>
    <w:pPr>
      <w:numPr>
        <w:numId w:val="0"/>
      </w:numPr>
      <w:tabs>
        <w:tab w:val="num" w:pos="360"/>
      </w:tabs>
      <w:ind w:left="357" w:hanging="357"/>
    </w:pPr>
    <w:rPr>
      <w:b w:val="0"/>
      <w:bCs w:val="0"/>
      <w:lang w:eastAsia="zh-CN"/>
    </w:rPr>
  </w:style>
  <w:style w:type="character" w:styleId="Strong">
    <w:name w:val="Strong"/>
    <w:uiPriority w:val="22"/>
    <w:qFormat/>
    <w:rsid w:val="000D13A9"/>
    <w:rPr>
      <w:rFonts w:cs="Times New Roman"/>
      <w:b/>
      <w:bCs/>
    </w:rPr>
  </w:style>
  <w:style w:type="paragraph" w:styleId="NormalWeb">
    <w:name w:val="Normal (Web)"/>
    <w:basedOn w:val="Normal"/>
    <w:uiPriority w:val="99"/>
    <w:semiHidden/>
    <w:rsid w:val="00100AC3"/>
    <w:pPr>
      <w:spacing w:before="100" w:beforeAutospacing="1" w:after="100" w:afterAutospacing="1"/>
    </w:pPr>
    <w:rPr>
      <w:rFonts w:ascii="Times New Roman" w:eastAsia="SimSun" w:hAnsi="Times New Roman" w:cs="Times New Roman"/>
      <w:sz w:val="24"/>
      <w:szCs w:val="24"/>
    </w:rPr>
  </w:style>
  <w:style w:type="paragraph" w:customStyle="1" w:styleId="Footnote">
    <w:name w:val="Footnote"/>
    <w:basedOn w:val="Normal"/>
    <w:rsid w:val="00F23A82"/>
    <w:pPr>
      <w:spacing w:after="0"/>
    </w:pPr>
    <w:rPr>
      <w:rFonts w:cs="Times New Roman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F23A82"/>
    <w:rPr>
      <w:rFonts w:ascii="Tahoma" w:eastAsia="SimSun" w:hAnsi="Tahoma" w:cs="Tahoma"/>
      <w:b/>
      <w:bCs/>
      <w:sz w:val="28"/>
      <w:szCs w:val="28"/>
    </w:rPr>
  </w:style>
  <w:style w:type="paragraph" w:customStyle="1" w:styleId="LicenseNumberChar">
    <w:name w:val="License Number Char"/>
    <w:basedOn w:val="Normal"/>
    <w:link w:val="LicenseNumberCharChar"/>
    <w:rsid w:val="00F23A82"/>
    <w:pPr>
      <w:spacing w:before="0" w:after="0"/>
    </w:pPr>
    <w:rPr>
      <w:rFonts w:eastAsia="SimSun"/>
      <w:b/>
      <w:bCs/>
      <w:sz w:val="28"/>
      <w:szCs w:val="28"/>
    </w:rPr>
  </w:style>
  <w:style w:type="paragraph" w:customStyle="1" w:styleId="LicenseNumSuper">
    <w:name w:val="License Num Super"/>
    <w:basedOn w:val="Normal"/>
    <w:link w:val="LicenseNumSuperChar"/>
    <w:rsid w:val="00F23A82"/>
    <w:pPr>
      <w:spacing w:after="0"/>
    </w:pPr>
    <w:rPr>
      <w:rFonts w:eastAsia="SimSun"/>
      <w:sz w:val="18"/>
      <w:szCs w:val="18"/>
    </w:rPr>
  </w:style>
  <w:style w:type="character" w:customStyle="1" w:styleId="LicenseNumSuperChar">
    <w:name w:val="License Num Super Char"/>
    <w:link w:val="LicenseNumSuper"/>
    <w:locked/>
    <w:rsid w:val="00F23A82"/>
    <w:rPr>
      <w:rFonts w:ascii="Tahoma" w:eastAsia="SimSun" w:hAnsi="Tahoma" w:cs="Tahoma"/>
      <w:b/>
      <w:bCs/>
      <w:sz w:val="18"/>
      <w:szCs w:val="18"/>
    </w:rPr>
  </w:style>
  <w:style w:type="character" w:customStyle="1" w:styleId="Heading1SuperCharChar">
    <w:name w:val="Heading 1 Super Char Char"/>
    <w:link w:val="Heading1SuperChar"/>
    <w:uiPriority w:val="99"/>
    <w:locked/>
    <w:rsid w:val="00F23A82"/>
    <w:rPr>
      <w:rFonts w:ascii="Tahoma" w:hAnsi="Tahoma" w:cs="Tahoma"/>
      <w:b/>
      <w:color w:val="FFFFFF"/>
      <w:sz w:val="24"/>
      <w:szCs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uiPriority w:val="99"/>
    <w:rsid w:val="00F23A82"/>
    <w:pPr>
      <w:numPr>
        <w:numId w:val="0"/>
      </w:numPr>
      <w:spacing w:before="0" w:after="0"/>
      <w:jc w:val="center"/>
    </w:pPr>
    <w:rPr>
      <w:bCs w:val="0"/>
      <w:color w:val="FFFFFF"/>
      <w:sz w:val="24"/>
      <w:szCs w:val="24"/>
      <w:u w:color="FFFFFF"/>
      <w:vertAlign w:val="superscript"/>
    </w:rPr>
  </w:style>
  <w:style w:type="paragraph" w:customStyle="1" w:styleId="LicenseNumber">
    <w:name w:val="License Number"/>
    <w:basedOn w:val="Normal"/>
    <w:rsid w:val="00B02742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customStyle="1" w:styleId="Revision1">
    <w:name w:val="Revision1"/>
    <w:hidden/>
    <w:semiHidden/>
    <w:rsid w:val="00C9386B"/>
    <w:rPr>
      <w:rFonts w:ascii="Tahoma" w:hAnsi="Tahoma" w:cs="Tahoma"/>
      <w:sz w:val="19"/>
      <w:szCs w:val="19"/>
    </w:rPr>
  </w:style>
  <w:style w:type="paragraph" w:customStyle="1" w:styleId="ListParagraph1">
    <w:name w:val="List Paragraph1"/>
    <w:basedOn w:val="Normal"/>
    <w:rsid w:val="008712AB"/>
    <w:pPr>
      <w:ind w:left="720"/>
      <w:contextualSpacing/>
    </w:pPr>
  </w:style>
  <w:style w:type="paragraph" w:customStyle="1" w:styleId="Style1">
    <w:name w:val="Style1"/>
    <w:basedOn w:val="Normal"/>
    <w:qFormat/>
    <w:rsid w:val="001F700A"/>
    <w:rPr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3888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8593FB-65F3-48B1-B67A-E41B8B986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2801</Words>
  <Characters>15969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18733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2012-09-27T05:43:00Z</dcterms:created>
  <dcterms:modified xsi:type="dcterms:W3CDTF">2015-10-30T15:07:00Z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document_id">
    <vt:lpwstr>19000</vt:lpwstr>
  </property>
  <property fmtid="{D5CDD505-2E9C-101B-9397-08002B2CF9AE}" pid="3" name="ContentTypeId">
    <vt:lpwstr>0x01010073462FA7A38BB74BBA6A3EFFBE88563F</vt:lpwstr>
  </property>
</Properties>
</file>